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0ADD" w:rsidRPr="00C3023E" w:rsidRDefault="00670ADD" w:rsidP="00670ADD">
      <w:pPr>
        <w:autoSpaceDE w:val="0"/>
        <w:autoSpaceDN w:val="0"/>
        <w:adjustRightInd w:val="0"/>
        <w:rPr>
          <w:b/>
          <w:bCs/>
        </w:rPr>
      </w:pPr>
    </w:p>
    <w:p w:rsidR="00F768A2" w:rsidRPr="00C3023E" w:rsidRDefault="00670ADD" w:rsidP="00670ADD">
      <w:pPr>
        <w:autoSpaceDE w:val="0"/>
        <w:autoSpaceDN w:val="0"/>
        <w:adjustRightInd w:val="0"/>
        <w:ind w:firstLine="0"/>
        <w:jc w:val="center"/>
        <w:rPr>
          <w:b/>
          <w:bCs/>
        </w:rPr>
      </w:pPr>
      <w:r w:rsidRPr="00C3023E">
        <w:rPr>
          <w:b/>
          <w:bCs/>
        </w:rPr>
        <w:t xml:space="preserve">Информация </w:t>
      </w:r>
    </w:p>
    <w:p w:rsidR="002C316F" w:rsidRPr="00C3023E" w:rsidRDefault="002C316F" w:rsidP="00670ADD">
      <w:pPr>
        <w:autoSpaceDE w:val="0"/>
        <w:autoSpaceDN w:val="0"/>
        <w:adjustRightInd w:val="0"/>
        <w:ind w:firstLine="0"/>
        <w:jc w:val="center"/>
        <w:rPr>
          <w:b/>
          <w:bCs/>
        </w:rPr>
      </w:pPr>
      <w:bookmarkStart w:id="0" w:name="_GoBack"/>
      <w:bookmarkEnd w:id="0"/>
      <w:r w:rsidRPr="00C3023E">
        <w:rPr>
          <w:b/>
          <w:bCs/>
        </w:rPr>
        <w:t xml:space="preserve">Амурского УФАС России по вопросу </w:t>
      </w:r>
    </w:p>
    <w:p w:rsidR="00670ADD" w:rsidRPr="00E5473F" w:rsidRDefault="002C316F" w:rsidP="00670ADD">
      <w:pPr>
        <w:autoSpaceDE w:val="0"/>
        <w:autoSpaceDN w:val="0"/>
        <w:adjustRightInd w:val="0"/>
        <w:ind w:firstLine="0"/>
        <w:jc w:val="center"/>
        <w:rPr>
          <w:b/>
          <w:bCs/>
        </w:rPr>
      </w:pPr>
      <w:r w:rsidRPr="00E5473F">
        <w:rPr>
          <w:b/>
          <w:bCs/>
        </w:rPr>
        <w:t>«</w:t>
      </w:r>
      <w:r w:rsidR="00E5473F" w:rsidRPr="00E5473F">
        <w:rPr>
          <w:b/>
        </w:rPr>
        <w:t>Актуальные вопросы правоприменительной практики антимонопольного законодательства по итогам работы за 3 квартал 2017 года</w:t>
      </w:r>
      <w:r w:rsidRPr="00E5473F">
        <w:rPr>
          <w:b/>
          <w:bCs/>
        </w:rPr>
        <w:t>»</w:t>
      </w:r>
    </w:p>
    <w:p w:rsidR="00670ADD" w:rsidRPr="00C3023E" w:rsidRDefault="00670ADD" w:rsidP="00670ADD">
      <w:pPr>
        <w:autoSpaceDE w:val="0"/>
        <w:autoSpaceDN w:val="0"/>
        <w:adjustRightInd w:val="0"/>
        <w:jc w:val="center"/>
        <w:rPr>
          <w:b/>
          <w:bCs/>
        </w:rPr>
      </w:pPr>
    </w:p>
    <w:p w:rsidR="00D86CA5" w:rsidRPr="001E531D" w:rsidRDefault="00D86CA5" w:rsidP="001E531D">
      <w:pPr>
        <w:pStyle w:val="a3"/>
        <w:tabs>
          <w:tab w:val="left" w:pos="9639"/>
        </w:tabs>
        <w:ind w:firstLine="709"/>
        <w:jc w:val="both"/>
        <w:rPr>
          <w:sz w:val="26"/>
          <w:szCs w:val="26"/>
        </w:rPr>
      </w:pPr>
      <w:r w:rsidRPr="001E531D">
        <w:rPr>
          <w:sz w:val="26"/>
          <w:szCs w:val="26"/>
        </w:rPr>
        <w:t>Вопросы управления и распоряжения государственным и муниципальным имуществом в разрезе антимонопольного законодательства.</w:t>
      </w:r>
    </w:p>
    <w:p w:rsidR="002A401A" w:rsidRDefault="002A401A" w:rsidP="00AB58F2">
      <w:r>
        <w:t>Амурское УФАС России в соответствии с общероссийской специализацией территориальных органов ФАС России специализируется по теме «</w:t>
      </w:r>
      <w:r w:rsidRPr="0042251E">
        <w:t>Антимонопольный контроль за соблюдением положений статьи 17.1 Федерального закона от 26.07.2006 № 135-ФЗ «О защите конкуренции» при заключении договоров в отношении государственного и муниципального имущества</w:t>
      </w:r>
      <w:r>
        <w:t>».</w:t>
      </w:r>
    </w:p>
    <w:p w:rsidR="001D0CB5" w:rsidRDefault="00D86CA5" w:rsidP="00AB58F2">
      <w:r>
        <w:t>Как уже упоминалось в докладе на публичных слушаниях, проведенных управлением 30.06.2017, в</w:t>
      </w:r>
      <w:r w:rsidR="005521E1" w:rsidRPr="00C3023E">
        <w:t xml:space="preserve"> отношении органов власти наибольшее количество нарушений приходится на случаи распоряжения органами местного самоуправления муниципальным имуществом с нарушением требований законодательства Российской Федерации</w:t>
      </w:r>
      <w:r w:rsidR="00DB5DE5" w:rsidRPr="00C3023E">
        <w:t>, стабильно подобные нарушения превышают</w:t>
      </w:r>
      <w:r w:rsidR="007171A4" w:rsidRPr="00C3023E">
        <w:t xml:space="preserve"> 70%</w:t>
      </w:r>
      <w:r w:rsidR="00DB5DE5" w:rsidRPr="00C3023E">
        <w:t xml:space="preserve"> от общего объема выявляемых нарушений</w:t>
      </w:r>
      <w:r w:rsidR="005521E1" w:rsidRPr="00C3023E">
        <w:t xml:space="preserve">. </w:t>
      </w:r>
      <w:r w:rsidR="002A401A">
        <w:t>При этом в</w:t>
      </w:r>
      <w:r w:rsidR="005521E1" w:rsidRPr="00C3023E">
        <w:t xml:space="preserve"> большей мере такие нарушения характерны при распоряжении муниципальным имуществом,</w:t>
      </w:r>
      <w:r w:rsidR="002A401A">
        <w:t xml:space="preserve"> </w:t>
      </w:r>
      <w:r w:rsidR="005521E1" w:rsidRPr="00C3023E">
        <w:t>предназначенным для оказания услуг теплоснабжения, водоснабжения и водоотведения</w:t>
      </w:r>
      <w:r w:rsidR="0010096D" w:rsidRPr="00C3023E">
        <w:t>.</w:t>
      </w:r>
    </w:p>
    <w:p w:rsidR="002A401A" w:rsidRPr="00C3023E" w:rsidRDefault="002A401A" w:rsidP="00AB58F2">
      <w:r>
        <w:t>Эти обстоятельства в большей мере определили выбор Амурским УФАС России направления специализации.</w:t>
      </w:r>
    </w:p>
    <w:p w:rsidR="00D8055D" w:rsidRPr="001E531D" w:rsidRDefault="002A401A" w:rsidP="00AB58F2">
      <w:pPr>
        <w:autoSpaceDE w:val="0"/>
        <w:autoSpaceDN w:val="0"/>
        <w:adjustRightInd w:val="0"/>
        <w:rPr>
          <w:i/>
        </w:rPr>
      </w:pPr>
      <w:r w:rsidRPr="001E531D">
        <w:rPr>
          <w:i/>
        </w:rPr>
        <w:t xml:space="preserve">1. </w:t>
      </w:r>
      <w:r w:rsidR="00D8055D" w:rsidRPr="001E531D">
        <w:rPr>
          <w:i/>
        </w:rPr>
        <w:t>Распоряжение объектами ЖКХ с учетом проблематики вопроса представителя ПАО «ДЭК», заданного на публичных слушаниях 30.09.2017.</w:t>
      </w:r>
    </w:p>
    <w:p w:rsidR="002A401A" w:rsidRPr="00CC5A0B" w:rsidRDefault="002A401A" w:rsidP="00AB58F2">
      <w:pPr>
        <w:autoSpaceDE w:val="0"/>
        <w:autoSpaceDN w:val="0"/>
        <w:adjustRightInd w:val="0"/>
      </w:pPr>
      <w:r w:rsidRPr="00CC5A0B">
        <w:t>Частью 1 статьи 17.1 Федерального закона от 26.07.2006 № 135-ФЗ «О защите конкуренции» (далее – Закон «О защите конкуренции») установлен общий порядок распоряжения государственным и муниципальным имуществом -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предоставления указанных прав на такое имущество в установленных данной нормой случаях.</w:t>
      </w:r>
    </w:p>
    <w:p w:rsidR="002A401A" w:rsidRPr="00CC5A0B" w:rsidRDefault="002A401A" w:rsidP="00AB58F2">
      <w:pPr>
        <w:widowControl w:val="0"/>
      </w:pPr>
      <w:r w:rsidRPr="00CC5A0B">
        <w:t xml:space="preserve">Аналогичные требования в отношении объектов государственного и муниципального имущества, закрепленного на праве хозяйственного ведения или оперативного управления, предусмотрены частью 3 статьи 17.1 Закона «О защите конкуренции». </w:t>
      </w:r>
    </w:p>
    <w:p w:rsidR="002A401A" w:rsidRPr="00CC5A0B" w:rsidRDefault="002A401A" w:rsidP="00AB58F2">
      <w:pPr>
        <w:pStyle w:val="ConsPlusNormal"/>
        <w:ind w:firstLine="709"/>
        <w:jc w:val="both"/>
      </w:pPr>
      <w:r w:rsidRPr="00CC5A0B">
        <w:t>Вместе с тем часть 2 статьи 17.1 Закона «О защите конкуренции» устанавливает, что указанный в части 1 данной статьи порядок заключения договоров не распространяется на имущество, распоряжение которым осуществляется, в частности, в соответствии с законодательством Российской Федерации о концессионных соглашениях.</w:t>
      </w:r>
    </w:p>
    <w:p w:rsidR="002A401A" w:rsidRPr="00CC5A0B" w:rsidRDefault="002A401A" w:rsidP="00AB58F2">
      <w:pPr>
        <w:autoSpaceDE w:val="0"/>
        <w:autoSpaceDN w:val="0"/>
        <w:adjustRightInd w:val="0"/>
        <w:rPr>
          <w:iCs/>
        </w:rPr>
      </w:pPr>
      <w:r w:rsidRPr="00CC5A0B">
        <w:t xml:space="preserve">В случаях </w:t>
      </w:r>
      <w:r w:rsidRPr="00CC5A0B">
        <w:rPr>
          <w:iCs/>
        </w:rPr>
        <w:t xml:space="preserve">предоставления государственного и муниципального имущества, необходимого для оказания услуг тепло-, водоснабжения и водоотведения, в пользование, в том числе путем предоставления муниципальных преференций, </w:t>
      </w:r>
      <w:r w:rsidRPr="00CC5A0B">
        <w:rPr>
          <w:iCs/>
        </w:rPr>
        <w:lastRenderedPageBreak/>
        <w:t xml:space="preserve">необходимо учитывать, что </w:t>
      </w:r>
      <w:r w:rsidRPr="00CC5A0B">
        <w:t>с момента официального опубликования (08.05.2013) Федерального закона от 07.05.2013 № 103-ФЗ «О внесении изменений в Федеральный закон «О концессионных соглашениях» и отдельные законодательные акты Российской Федерации» передача прав владения и (или) пользования объектами теплоснабжения, централизованными системами горячего водоснабжения, холодного водоснабжения и (или) водоотведения, отдельными объектами таких систем, находящимися в муниципальной собственности, осуществляется с учетом требований, установленных статьей 41.1 Закона «О водоснабжении» и статьей 28.1 Закона «О теплоснабжении».</w:t>
      </w:r>
    </w:p>
    <w:p w:rsidR="002A401A" w:rsidRPr="00CC5A0B" w:rsidRDefault="002A401A" w:rsidP="00AB58F2">
      <w:pPr>
        <w:widowControl w:val="0"/>
      </w:pPr>
      <w:r>
        <w:t>О</w:t>
      </w:r>
      <w:r w:rsidRPr="00CC5A0B">
        <w:t xml:space="preserve">бобщая требования статьей 41.1 Закона «О водоснабжении» и 28.1 Закона «О теплоснабжении», можно отметить, что объекты тепло-, водоснабжения и водоотведения, находящиеся в государственной или муниципальной собственности, имеющие срок эксплуатации менее 5 лет могут передаваться хозяйствующим субъектам только в аренду в порядке, предусмотренном статьей 17.1 Закона «О защите конкуренции», а объекты, имеющие срок эксплуатации свыше 5 лет – только на основании концессионного соглашения, заключенного в соответствии с требованиями законодательства Российской Федерации о концессионных соглашениях, в таких случаях нормы статьи 17.1 Закона «О защите конкуренции» не подлежат применению. </w:t>
      </w:r>
    </w:p>
    <w:p w:rsidR="00AB58F2" w:rsidRPr="00D47295" w:rsidRDefault="00AB58F2" w:rsidP="00AB58F2">
      <w:pPr>
        <w:widowControl w:val="0"/>
      </w:pPr>
      <w:r w:rsidRPr="00D47295">
        <w:t>Градация в зависимости от срока эксплуатации объектов тепло-, водоснабжения и водоотведения экономически и технологически обоснована, поскольку концессия предполагает инвестиции в развитие инфраструктуры ЖКХ, имеющей более длительный срок эксплуатации и износа, государственное регулирование цен и тарифов с учетом инвестиций на долгосрочный период, что в большей мере является привлекательным для добросовестных хозяйствующих субъектом, имеющих интерес осуществлять деятельность на соответствующем товарном рынке.</w:t>
      </w:r>
    </w:p>
    <w:p w:rsidR="00AB58F2" w:rsidRPr="00D47295" w:rsidRDefault="00AB58F2" w:rsidP="00AB58F2">
      <w:pPr>
        <w:widowControl w:val="0"/>
      </w:pPr>
      <w:r w:rsidRPr="00D47295">
        <w:t xml:space="preserve"> В конкурентной борьбе на торгах на право заключения договора аренды или концессионного соглашения должны побеждать хозяйствующие субъекты, предлагающие наилучшие условия пользования таким имуществом, а сама публичная процедура торгов обеспечивает возможность привлекать на рынок новых участников, возможно имеющих наилучшие результаты в своей деятельности. В противном случае как конкуренция хозяйствующих субъектов на торгах, так и на соответствующих товарных рынках тепло-, водоснабжения и водоотведения фактически исключается, что приводит к недопущению конкуренции.</w:t>
      </w:r>
    </w:p>
    <w:p w:rsidR="002A401A" w:rsidRPr="00CC5A0B" w:rsidRDefault="002A401A" w:rsidP="00AB58F2">
      <w:r w:rsidRPr="00CC5A0B">
        <w:t>В большинстве случаев органы власти осуществляют передачу объектов ЖКХ на основании договоров аренды (безвозмездного пользования) без проведения торгов, не учитывая, что в отношении объектов тепло-, водоснабжения и водоотведения, имеющих срок эксплуатации более 5 лет (практически большая часть объектов инфраструктуры ЖКХ на территории всей области) в соответствии с Федеральным законом от 07.05.2013 № 103-ФЗ «О внесении изменений в Федеральный закон «О концессионных соглашениях» и отдельные законодательные акты Российской Федерации»</w:t>
      </w:r>
      <w:r>
        <w:t>,</w:t>
      </w:r>
      <w:r w:rsidRPr="00CC5A0B">
        <w:t xml:space="preserve"> передача в пользование хозяйствующим субъектам осуществляется по результатам торгов на право заключения концессионного соглашения.</w:t>
      </w:r>
    </w:p>
    <w:p w:rsidR="00AB58F2" w:rsidRDefault="00AB58F2" w:rsidP="00AB58F2">
      <w:r w:rsidRPr="00D47295">
        <w:t xml:space="preserve">Заключение договоров, предусматривающих передачу хозяйствующим субъектам во владение и пользование или в пользование объектов тепло-, водоснабжения и водоотведения, находящихся в государственной или </w:t>
      </w:r>
      <w:r w:rsidRPr="00D47295">
        <w:lastRenderedPageBreak/>
        <w:t xml:space="preserve">муниципальной собственности, в нарушение вышеуказанных требований законодательства Российской Федерации может свидетельствовать о наличии в действиях соответствующих органов власти признаков нарушения статьи 15 Закона «О защите конкуренции». </w:t>
      </w:r>
    </w:p>
    <w:p w:rsidR="00AB58F2" w:rsidRDefault="00AB58F2" w:rsidP="00AB58F2">
      <w:pPr>
        <w:widowControl w:val="0"/>
      </w:pPr>
      <w:r>
        <w:t>Такая квалификация является обоснованной в силу исключения применения части 1 статьи 17.1 Закона «О защите конкуренции» установленного вышеуказанной частью 2 данной статьи в случае</w:t>
      </w:r>
      <w:r w:rsidRPr="00F15F74">
        <w:t xml:space="preserve"> </w:t>
      </w:r>
      <w:r w:rsidRPr="00CC5A0B">
        <w:t>распоряжени</w:t>
      </w:r>
      <w:r>
        <w:t>я имуществом</w:t>
      </w:r>
      <w:r w:rsidRPr="00CC5A0B">
        <w:t xml:space="preserve"> в соответствии с законодательством Российской Федерации о концессионных соглашениях</w:t>
      </w:r>
      <w:r>
        <w:t>.</w:t>
      </w:r>
    </w:p>
    <w:p w:rsidR="00AB58F2" w:rsidRPr="00CC5A0B" w:rsidRDefault="00AB58F2" w:rsidP="00AB58F2">
      <w:pPr>
        <w:widowControl w:val="0"/>
      </w:pPr>
      <w:r>
        <w:t xml:space="preserve">При этом, в случае заключения в отношении находящихся в государственной или муниципальной собственности объектов тепло-, водоснабжения и водоотведения, имеющих срок эксплуатации свыше 5 лет, договоров аренды или безвозмездного пользования по результатам торгов или с применением исключений, предусмотренных частью 1 статьи 17.1 Закона «О защите конкуренции» возможна дополнительная квалификация нарушения по части 2 указанной статьи.   </w:t>
      </w:r>
    </w:p>
    <w:p w:rsidR="00AB58F2" w:rsidRPr="00D47295" w:rsidRDefault="00AB58F2" w:rsidP="00AB58F2">
      <w:pPr>
        <w:widowControl w:val="0"/>
      </w:pPr>
      <w:r w:rsidRPr="00D47295">
        <w:t>В случае выявления признаков нарушения статьи 15 Закона «О защите конкуренции» в соответствии со статьей 39.1 указанного законом до возбуждения дела о нарушении антимонопольного законодательства, антимонопольный орган обязан выдать предупреждение об устранении признаков нарушения антимонопольного законодательства.</w:t>
      </w:r>
    </w:p>
    <w:p w:rsidR="00AB58F2" w:rsidRDefault="00D8055D" w:rsidP="00AB58F2">
      <w:r>
        <w:t>В</w:t>
      </w:r>
      <w:r w:rsidR="00AB58F2">
        <w:t xml:space="preserve"> 2015 году </w:t>
      </w:r>
      <w:r>
        <w:t xml:space="preserve">Амурским УФАС России </w:t>
      </w:r>
      <w:r w:rsidR="00AB58F2">
        <w:t xml:space="preserve">рассмотрено 5 дел по фактам </w:t>
      </w:r>
      <w:proofErr w:type="gramStart"/>
      <w:r w:rsidR="00AB58F2">
        <w:t>передачи</w:t>
      </w:r>
      <w:proofErr w:type="gramEnd"/>
      <w:r w:rsidR="00AB58F2">
        <w:t xml:space="preserve"> находящихся в муниципальной собственности объектов</w:t>
      </w:r>
      <w:r w:rsidR="00AB58F2" w:rsidRPr="00DC7DCE">
        <w:t xml:space="preserve"> </w:t>
      </w:r>
      <w:r w:rsidR="00AB58F2">
        <w:t>тепло-, водоснабжения и водоотведения с нарушением установленного законом порядка, в 2016 году рассмотрено</w:t>
      </w:r>
      <w:r>
        <w:t xml:space="preserve"> - аналогично</w:t>
      </w:r>
      <w:r w:rsidR="00AB58F2">
        <w:t xml:space="preserve"> 5 дел, выдано 14 предупреждений, в 2017 году </w:t>
      </w:r>
      <w:r>
        <w:t xml:space="preserve">рассмотрено </w:t>
      </w:r>
      <w:r w:rsidR="00AB58F2">
        <w:t xml:space="preserve">1 дело, </w:t>
      </w:r>
      <w:r>
        <w:t xml:space="preserve">выдано </w:t>
      </w:r>
      <w:r w:rsidR="00AB58F2">
        <w:t xml:space="preserve">13 предупреждений.  </w:t>
      </w:r>
    </w:p>
    <w:p w:rsidR="00AB58F2" w:rsidRDefault="00AB58F2" w:rsidP="00AB58F2">
      <w:r w:rsidRPr="00C3023E">
        <w:t xml:space="preserve">Подобные нарушения выявлялись как по результатам рассмотрения заявлений и обращений, так и по результатам проведения контрольных мероприятий, а также при выполнении Амурским УФАС России функций по согласованию государственных и муниципальных преференций. </w:t>
      </w:r>
    </w:p>
    <w:p w:rsidR="00AB58F2" w:rsidRPr="00C3023E" w:rsidRDefault="00AB58F2" w:rsidP="00AB58F2">
      <w:r>
        <w:t>В разрезе муниципальных образований нарушения выявлялись</w:t>
      </w:r>
      <w:r w:rsidR="003C7C81">
        <w:t>, к примеру,</w:t>
      </w:r>
      <w:r>
        <w:t xml:space="preserve"> в отношении органов местного самоуправления </w:t>
      </w:r>
      <w:r w:rsidR="00D8055D">
        <w:t xml:space="preserve">г. Белогорск и Белогорского района, </w:t>
      </w:r>
      <w:r w:rsidR="003C7C81">
        <w:t xml:space="preserve">г. Завитинск, г. Райчихинск, </w:t>
      </w:r>
      <w:r>
        <w:t>Бурейского,</w:t>
      </w:r>
      <w:r w:rsidR="00D8055D">
        <w:t xml:space="preserve"> Ивановского,</w:t>
      </w:r>
      <w:r>
        <w:t xml:space="preserve"> Константиновского</w:t>
      </w:r>
      <w:r w:rsidR="00D8055D">
        <w:t>, Тамбовского, Тындинского</w:t>
      </w:r>
      <w:r>
        <w:t xml:space="preserve"> районов, </w:t>
      </w:r>
    </w:p>
    <w:p w:rsidR="00AB58F2" w:rsidRPr="00D47295" w:rsidRDefault="00AB58F2" w:rsidP="00AB58F2">
      <w:r>
        <w:t>В связи с этим</w:t>
      </w:r>
      <w:r w:rsidR="005024DE">
        <w:t xml:space="preserve"> вопросы</w:t>
      </w:r>
      <w:r>
        <w:t xml:space="preserve"> р</w:t>
      </w:r>
      <w:r w:rsidRPr="00D47295">
        <w:t xml:space="preserve">аспоряжения муниципальным имуществом являются одним из направлений проверок, осуществляемых Амурским УФАС России в соответствии с утверждаемыми ежегодно планами проверок органов местного самоуправления. Так в 2017 году Амурским УФАС России в план проверок включено 8 проверок администраций и органов местного самоуправления, уполномоченных распоряжаться муниципальным имуществом. </w:t>
      </w:r>
    </w:p>
    <w:p w:rsidR="0046223A" w:rsidRPr="006440F4" w:rsidRDefault="0046223A" w:rsidP="0046223A">
      <w:pPr>
        <w:rPr>
          <w:i/>
        </w:rPr>
      </w:pPr>
      <w:r w:rsidRPr="006440F4">
        <w:rPr>
          <w:i/>
        </w:rPr>
        <w:t xml:space="preserve">2. </w:t>
      </w:r>
      <w:r w:rsidR="001E531D">
        <w:rPr>
          <w:i/>
        </w:rPr>
        <w:t>Передача в пользование хозяйствующим субъектам находящихся в государственной или муниципальной собственности объектов жилищного фонда.</w:t>
      </w:r>
    </w:p>
    <w:p w:rsidR="007E28A2" w:rsidRPr="00551050" w:rsidRDefault="007E28A2" w:rsidP="007E28A2">
      <w:pPr>
        <w:autoSpaceDE w:val="0"/>
        <w:autoSpaceDN w:val="0"/>
        <w:adjustRightInd w:val="0"/>
      </w:pPr>
      <w:r>
        <w:t xml:space="preserve">В 2017 году Амурским УФАС России выявлен факт заключения органом местного самоуправления с хозяйствующим субъектом договора аренды объекта жилищного фонда. Данный договор был заключен без проведения процедуры торгов на право заключения договора аренды. В связи с этим управлением возбуждено дело о нарушении антимонопольного законодательства. </w:t>
      </w:r>
    </w:p>
    <w:p w:rsidR="007E28A2" w:rsidRDefault="007E28A2" w:rsidP="006B0633">
      <w:pPr>
        <w:autoSpaceDE w:val="0"/>
        <w:autoSpaceDN w:val="0"/>
        <w:adjustRightInd w:val="0"/>
      </w:pPr>
      <w:r>
        <w:t>Позиция Амурского УФАС России сводится к следующему.</w:t>
      </w:r>
    </w:p>
    <w:p w:rsidR="006B0633" w:rsidRPr="00551050" w:rsidRDefault="006B0633" w:rsidP="006B0633">
      <w:pPr>
        <w:autoSpaceDE w:val="0"/>
        <w:autoSpaceDN w:val="0"/>
        <w:adjustRightInd w:val="0"/>
      </w:pPr>
      <w:r w:rsidRPr="00551050">
        <w:lastRenderedPageBreak/>
        <w:t>В соответствии с частями 1, 2 статьи 288 Гражданского кодекса Российской Федерации собственник осуществляет права владения, пользования и распоряжения принадлежащим ему жилым помещением в соответствии с его назначением.</w:t>
      </w:r>
    </w:p>
    <w:p w:rsidR="006B0633" w:rsidRPr="00551050" w:rsidRDefault="006B0633" w:rsidP="006B0633">
      <w:pPr>
        <w:autoSpaceDE w:val="0"/>
        <w:autoSpaceDN w:val="0"/>
        <w:adjustRightInd w:val="0"/>
      </w:pPr>
      <w:r w:rsidRPr="00551050">
        <w:t>Жилые помещения предназначены для проживания граждан</w:t>
      </w:r>
      <w:r>
        <w:t xml:space="preserve"> и </w:t>
      </w:r>
      <w:r w:rsidRPr="00551050">
        <w:t>могут сдаваться их собственниками для проживания на основании договора.</w:t>
      </w:r>
    </w:p>
    <w:p w:rsidR="00F5178C" w:rsidRPr="00551050" w:rsidRDefault="00F5178C" w:rsidP="00F5178C">
      <w:pPr>
        <w:autoSpaceDE w:val="0"/>
        <w:autoSpaceDN w:val="0"/>
        <w:adjustRightInd w:val="0"/>
      </w:pPr>
      <w:r w:rsidRPr="00551050">
        <w:t>Юридическим лицам жилое помещение может быть предоставлено во владение и (или) пользование на основе договора аренды или иного договора. Юридическое лицо может использовать жилое помещение только для проживания граждан (часть 2 статьи 671 Гражданского кодекса Российской Федерации).</w:t>
      </w:r>
    </w:p>
    <w:p w:rsidR="006B0633" w:rsidRPr="00551050" w:rsidRDefault="006B0633" w:rsidP="006B0633">
      <w:pPr>
        <w:autoSpaceDE w:val="0"/>
        <w:autoSpaceDN w:val="0"/>
        <w:adjustRightInd w:val="0"/>
      </w:pPr>
      <w:r w:rsidRPr="00551050">
        <w:t>В свою очередь часть 2 статьи 30 Жилищного кодекса Российской Федерации устанавливает, что собственник жилого помещения вправе предоставить во владение и (или) в пользование принадлежащее ему на праве собственности жилое помещение гражданину на основании договора найма, договора безвозмездного пользования или на ином законном основании, а также юридическому лицу на основании договора аренды или на ином законном основании с учетом требований, установленных гражданским законодательством, Жилищным кодексом Российской Федерации.</w:t>
      </w:r>
    </w:p>
    <w:p w:rsidR="006B0633" w:rsidRPr="00551050" w:rsidRDefault="006B0633" w:rsidP="006B0633">
      <w:pPr>
        <w:autoSpaceDE w:val="0"/>
        <w:autoSpaceDN w:val="0"/>
        <w:adjustRightInd w:val="0"/>
      </w:pPr>
      <w:r w:rsidRPr="00551050">
        <w:t>Анализ указанных норм позволяет прийти к выводу, что объекты жилищного фонда, находящегося в государственной или муниципальной собственности, могут передаваться во владение и пользование юридическим лицам на основании договора аренды и в целях проживания граждан, в том числе на основании коммерческого найма.</w:t>
      </w:r>
    </w:p>
    <w:p w:rsidR="006B0633" w:rsidRPr="00551050" w:rsidRDefault="006B0633" w:rsidP="006B0633">
      <w:pPr>
        <w:autoSpaceDE w:val="0"/>
        <w:autoSpaceDN w:val="0"/>
        <w:adjustRightInd w:val="0"/>
      </w:pPr>
      <w:r w:rsidRPr="00551050">
        <w:t>Указанные нормы, в отличие от порядка предоставления объектов жилищного фонда, находящегося в государственной или муниципальной собственности, гражданам, не устанавливают какие-либо особенности порядка предоставления таких объектов в аренду юридическим лицам.</w:t>
      </w:r>
    </w:p>
    <w:p w:rsidR="006B0633" w:rsidRPr="00551050" w:rsidRDefault="007E28A2" w:rsidP="006B0633">
      <w:pPr>
        <w:autoSpaceDE w:val="0"/>
        <w:autoSpaceDN w:val="0"/>
        <w:adjustRightInd w:val="0"/>
      </w:pPr>
      <w:r>
        <w:t>Таким образом</w:t>
      </w:r>
      <w:r w:rsidR="006B0633" w:rsidRPr="00551050">
        <w:t>, предоставление объектов жилищного фонда, находящегося в государственной или муниципальной собственности, в аренду юридическим лицам осуществляется в общем порядке, предусмотренном статьей 17.1 Федерального закона от 26.07.2006 № 135-ФЗ «О защите конкуренции».</w:t>
      </w:r>
    </w:p>
    <w:p w:rsidR="006B0633" w:rsidRPr="00551050" w:rsidRDefault="006B0633" w:rsidP="006B0633">
      <w:pPr>
        <w:autoSpaceDE w:val="0"/>
        <w:autoSpaceDN w:val="0"/>
        <w:adjustRightInd w:val="0"/>
      </w:pPr>
      <w:r w:rsidRPr="00551050">
        <w:t xml:space="preserve">При этом согласно части 2 статьи 17.1 Федерального закона от 26.07.2006 № 135-ФЗ «О защите конкуренции» указанный в </w:t>
      </w:r>
      <w:hyperlink r:id="rId6" w:history="1">
        <w:r w:rsidRPr="00551050">
          <w:t>части 1</w:t>
        </w:r>
      </w:hyperlink>
      <w:r w:rsidRPr="00551050">
        <w:t xml:space="preserve"> данной статьи порядок заключения договоров не распространяется на имущество, распоряжение которым осуществляется в соответствии с Земельным </w:t>
      </w:r>
      <w:hyperlink r:id="rId7" w:history="1">
        <w:r w:rsidRPr="00551050">
          <w:t>кодексом</w:t>
        </w:r>
      </w:hyperlink>
      <w:r w:rsidRPr="00551050">
        <w:t xml:space="preserve"> Российской Федерации, Водным </w:t>
      </w:r>
      <w:hyperlink r:id="rId8" w:history="1">
        <w:r w:rsidRPr="00551050">
          <w:t>кодексом</w:t>
        </w:r>
      </w:hyperlink>
      <w:r w:rsidRPr="00551050">
        <w:t xml:space="preserve"> Российской Федерации, Лесным </w:t>
      </w:r>
      <w:hyperlink r:id="rId9" w:history="1">
        <w:r w:rsidRPr="00551050">
          <w:t>кодексом</w:t>
        </w:r>
      </w:hyperlink>
      <w:r w:rsidRPr="00551050">
        <w:t xml:space="preserve"> Российской Федерации, </w:t>
      </w:r>
      <w:hyperlink r:id="rId10" w:history="1">
        <w:r w:rsidRPr="00551050">
          <w:t>законодательством</w:t>
        </w:r>
      </w:hyperlink>
      <w:r w:rsidRPr="00551050">
        <w:t xml:space="preserve"> Российской Федерации о недрах, </w:t>
      </w:r>
      <w:hyperlink r:id="rId11" w:history="1">
        <w:r w:rsidRPr="00551050">
          <w:t>законодательством</w:t>
        </w:r>
      </w:hyperlink>
      <w:r w:rsidRPr="00551050">
        <w:t xml:space="preserve"> Российской Федерации о концессионных соглашениях, законодательством Российской Федерации о государственно-частном партнерстве, </w:t>
      </w:r>
      <w:proofErr w:type="spellStart"/>
      <w:r w:rsidRPr="00551050">
        <w:t>муниципально</w:t>
      </w:r>
      <w:proofErr w:type="spellEnd"/>
      <w:r w:rsidRPr="00551050">
        <w:t>-частном партнерстве.</w:t>
      </w:r>
    </w:p>
    <w:p w:rsidR="006B0633" w:rsidRDefault="007E28A2" w:rsidP="006B0633">
      <w:pPr>
        <w:autoSpaceDE w:val="0"/>
        <w:autoSpaceDN w:val="0"/>
        <w:adjustRightInd w:val="0"/>
      </w:pPr>
      <w:r>
        <w:t>Следовательно, д</w:t>
      </w:r>
      <w:r w:rsidR="006B0633" w:rsidRPr="00551050">
        <w:t>анная норма не исключает применение части 1 статьи 17.1 Федерального закона от 26.07.2006 № 135-ФЗ «О защите конкуренции» в случае распоряжения (передачи во владение и пользование на основании договора аренды) объектами жилищного фонда, находящегося в государственной или муниципальной собственности.</w:t>
      </w:r>
    </w:p>
    <w:p w:rsidR="0046223A" w:rsidRPr="006B0633" w:rsidRDefault="0046223A" w:rsidP="00C233CB"/>
    <w:sectPr w:rsidR="0046223A" w:rsidRPr="006B0633" w:rsidSect="00F425A0">
      <w:head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1DA0" w:rsidRDefault="00531DA0" w:rsidP="00F425A0">
      <w:r>
        <w:separator/>
      </w:r>
    </w:p>
  </w:endnote>
  <w:endnote w:type="continuationSeparator" w:id="0">
    <w:p w:rsidR="00531DA0" w:rsidRDefault="00531DA0" w:rsidP="00F42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1DA0" w:rsidRDefault="00531DA0" w:rsidP="00F425A0">
      <w:r>
        <w:separator/>
      </w:r>
    </w:p>
  </w:footnote>
  <w:footnote w:type="continuationSeparator" w:id="0">
    <w:p w:rsidR="00531DA0" w:rsidRDefault="00531DA0" w:rsidP="00F425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2678091"/>
      <w:docPartObj>
        <w:docPartGallery w:val="Page Numbers (Top of Page)"/>
        <w:docPartUnique/>
      </w:docPartObj>
    </w:sdtPr>
    <w:sdtEndPr/>
    <w:sdtContent>
      <w:p w:rsidR="00F425A0" w:rsidRDefault="00F425A0" w:rsidP="00F425A0">
        <w:pPr>
          <w:pStyle w:val="a5"/>
          <w:ind w:firstLine="0"/>
          <w:jc w:val="center"/>
        </w:pPr>
        <w:r>
          <w:fldChar w:fldCharType="begin"/>
        </w:r>
        <w:r>
          <w:instrText>PAGE   \* MERGEFORMAT</w:instrText>
        </w:r>
        <w:r>
          <w:fldChar w:fldCharType="separate"/>
        </w:r>
        <w:r w:rsidR="00C9414D">
          <w:rPr>
            <w:noProof/>
          </w:rPr>
          <w:t>4</w:t>
        </w:r>
        <w:r>
          <w:fldChar w:fldCharType="end"/>
        </w:r>
      </w:p>
    </w:sdtContent>
  </w:sdt>
  <w:p w:rsidR="00F425A0" w:rsidRDefault="00F425A0">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A86"/>
    <w:rsid w:val="000021C7"/>
    <w:rsid w:val="00085E7B"/>
    <w:rsid w:val="000E638E"/>
    <w:rsid w:val="00100016"/>
    <w:rsid w:val="0010096D"/>
    <w:rsid w:val="00126745"/>
    <w:rsid w:val="00166071"/>
    <w:rsid w:val="00176EB6"/>
    <w:rsid w:val="0018024D"/>
    <w:rsid w:val="001D0CB5"/>
    <w:rsid w:val="001E531D"/>
    <w:rsid w:val="00227FF4"/>
    <w:rsid w:val="0024434B"/>
    <w:rsid w:val="002567A4"/>
    <w:rsid w:val="002A401A"/>
    <w:rsid w:val="002C316F"/>
    <w:rsid w:val="002D5266"/>
    <w:rsid w:val="002E3462"/>
    <w:rsid w:val="002E55A9"/>
    <w:rsid w:val="002E7A86"/>
    <w:rsid w:val="003141FF"/>
    <w:rsid w:val="003669F1"/>
    <w:rsid w:val="00380F04"/>
    <w:rsid w:val="003B7A0D"/>
    <w:rsid w:val="003C7C81"/>
    <w:rsid w:val="003F1947"/>
    <w:rsid w:val="0046223A"/>
    <w:rsid w:val="004769AD"/>
    <w:rsid w:val="00491AB4"/>
    <w:rsid w:val="004E0DF0"/>
    <w:rsid w:val="005024DE"/>
    <w:rsid w:val="00513C18"/>
    <w:rsid w:val="00531DA0"/>
    <w:rsid w:val="00543D79"/>
    <w:rsid w:val="005521E1"/>
    <w:rsid w:val="006026D9"/>
    <w:rsid w:val="00633CAB"/>
    <w:rsid w:val="00640F78"/>
    <w:rsid w:val="00656C1E"/>
    <w:rsid w:val="00670ADD"/>
    <w:rsid w:val="00690A1D"/>
    <w:rsid w:val="006B0633"/>
    <w:rsid w:val="006C34E0"/>
    <w:rsid w:val="006D36B1"/>
    <w:rsid w:val="006F20D7"/>
    <w:rsid w:val="00702887"/>
    <w:rsid w:val="007171A4"/>
    <w:rsid w:val="00723B69"/>
    <w:rsid w:val="00742E34"/>
    <w:rsid w:val="00782B2A"/>
    <w:rsid w:val="007A1919"/>
    <w:rsid w:val="007B23CB"/>
    <w:rsid w:val="007E28A2"/>
    <w:rsid w:val="008349E3"/>
    <w:rsid w:val="008455F8"/>
    <w:rsid w:val="00884520"/>
    <w:rsid w:val="00946005"/>
    <w:rsid w:val="009568FA"/>
    <w:rsid w:val="009803E9"/>
    <w:rsid w:val="00981229"/>
    <w:rsid w:val="009C35EE"/>
    <w:rsid w:val="00A01199"/>
    <w:rsid w:val="00A04377"/>
    <w:rsid w:val="00A43CAB"/>
    <w:rsid w:val="00A65F53"/>
    <w:rsid w:val="00A95470"/>
    <w:rsid w:val="00AA378E"/>
    <w:rsid w:val="00AB58F2"/>
    <w:rsid w:val="00AC0C6C"/>
    <w:rsid w:val="00AE3234"/>
    <w:rsid w:val="00AE4BFE"/>
    <w:rsid w:val="00B36802"/>
    <w:rsid w:val="00B92FF7"/>
    <w:rsid w:val="00C16A34"/>
    <w:rsid w:val="00C233CB"/>
    <w:rsid w:val="00C3023E"/>
    <w:rsid w:val="00C619D0"/>
    <w:rsid w:val="00C9414D"/>
    <w:rsid w:val="00CA6CB1"/>
    <w:rsid w:val="00CD4626"/>
    <w:rsid w:val="00CF56DC"/>
    <w:rsid w:val="00D56C2C"/>
    <w:rsid w:val="00D8055D"/>
    <w:rsid w:val="00D86CA5"/>
    <w:rsid w:val="00DB5DE5"/>
    <w:rsid w:val="00DD4375"/>
    <w:rsid w:val="00DE59F4"/>
    <w:rsid w:val="00DF257F"/>
    <w:rsid w:val="00E110B5"/>
    <w:rsid w:val="00E5473F"/>
    <w:rsid w:val="00E96450"/>
    <w:rsid w:val="00EB3354"/>
    <w:rsid w:val="00F27899"/>
    <w:rsid w:val="00F4183E"/>
    <w:rsid w:val="00F425A0"/>
    <w:rsid w:val="00F44656"/>
    <w:rsid w:val="00F5178C"/>
    <w:rsid w:val="00F5277C"/>
    <w:rsid w:val="00F768A2"/>
    <w:rsid w:val="00F85061"/>
    <w:rsid w:val="00FB2BAF"/>
    <w:rsid w:val="00FD09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38B870-762E-4B43-8628-5760D77B3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6"/>
        <w:szCs w:val="26"/>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76EB6"/>
    <w:pPr>
      <w:autoSpaceDE w:val="0"/>
      <w:autoSpaceDN w:val="0"/>
      <w:adjustRightInd w:val="0"/>
      <w:ind w:firstLine="0"/>
      <w:jc w:val="left"/>
    </w:pPr>
  </w:style>
  <w:style w:type="paragraph" w:styleId="a3">
    <w:name w:val="Body Text"/>
    <w:basedOn w:val="a"/>
    <w:link w:val="a4"/>
    <w:rsid w:val="00F27899"/>
    <w:pPr>
      <w:ind w:firstLine="0"/>
      <w:jc w:val="center"/>
    </w:pPr>
    <w:rPr>
      <w:rFonts w:eastAsia="Times New Roman"/>
      <w:b/>
      <w:bCs/>
      <w:sz w:val="22"/>
      <w:szCs w:val="24"/>
      <w:lang w:eastAsia="ru-RU"/>
    </w:rPr>
  </w:style>
  <w:style w:type="character" w:customStyle="1" w:styleId="a4">
    <w:name w:val="Основной текст Знак"/>
    <w:basedOn w:val="a0"/>
    <w:link w:val="a3"/>
    <w:rsid w:val="00F27899"/>
    <w:rPr>
      <w:rFonts w:eastAsia="Times New Roman"/>
      <w:b/>
      <w:bCs/>
      <w:sz w:val="22"/>
      <w:szCs w:val="24"/>
      <w:lang w:eastAsia="ru-RU"/>
    </w:rPr>
  </w:style>
  <w:style w:type="paragraph" w:styleId="a5">
    <w:name w:val="header"/>
    <w:basedOn w:val="a"/>
    <w:link w:val="a6"/>
    <w:uiPriority w:val="99"/>
    <w:unhideWhenUsed/>
    <w:rsid w:val="00F425A0"/>
    <w:pPr>
      <w:tabs>
        <w:tab w:val="center" w:pos="4677"/>
        <w:tab w:val="right" w:pos="9355"/>
      </w:tabs>
    </w:pPr>
  </w:style>
  <w:style w:type="character" w:customStyle="1" w:styleId="a6">
    <w:name w:val="Верхний колонтитул Знак"/>
    <w:basedOn w:val="a0"/>
    <w:link w:val="a5"/>
    <w:uiPriority w:val="99"/>
    <w:rsid w:val="00F425A0"/>
  </w:style>
  <w:style w:type="paragraph" w:styleId="a7">
    <w:name w:val="footer"/>
    <w:basedOn w:val="a"/>
    <w:link w:val="a8"/>
    <w:uiPriority w:val="99"/>
    <w:unhideWhenUsed/>
    <w:rsid w:val="00F425A0"/>
    <w:pPr>
      <w:tabs>
        <w:tab w:val="center" w:pos="4677"/>
        <w:tab w:val="right" w:pos="9355"/>
      </w:tabs>
    </w:pPr>
  </w:style>
  <w:style w:type="character" w:customStyle="1" w:styleId="a8">
    <w:name w:val="Нижний колонтитул Знак"/>
    <w:basedOn w:val="a0"/>
    <w:link w:val="a7"/>
    <w:uiPriority w:val="99"/>
    <w:rsid w:val="00F425A0"/>
  </w:style>
  <w:style w:type="paragraph" w:styleId="a9">
    <w:name w:val="Balloon Text"/>
    <w:basedOn w:val="a"/>
    <w:link w:val="aa"/>
    <w:uiPriority w:val="99"/>
    <w:semiHidden/>
    <w:unhideWhenUsed/>
    <w:rsid w:val="002D5266"/>
    <w:rPr>
      <w:rFonts w:ascii="Segoe UI" w:hAnsi="Segoe UI" w:cs="Segoe UI"/>
      <w:sz w:val="18"/>
      <w:szCs w:val="18"/>
    </w:rPr>
  </w:style>
  <w:style w:type="character" w:customStyle="1" w:styleId="aa">
    <w:name w:val="Текст выноски Знак"/>
    <w:basedOn w:val="a0"/>
    <w:link w:val="a9"/>
    <w:uiPriority w:val="99"/>
    <w:semiHidden/>
    <w:rsid w:val="002D5266"/>
    <w:rPr>
      <w:rFonts w:ascii="Segoe UI" w:hAnsi="Segoe UI" w:cs="Segoe UI"/>
      <w:sz w:val="18"/>
      <w:szCs w:val="18"/>
    </w:rPr>
  </w:style>
  <w:style w:type="paragraph" w:customStyle="1" w:styleId="justifyfull">
    <w:name w:val="justifyfull"/>
    <w:basedOn w:val="a"/>
    <w:rsid w:val="0046223A"/>
    <w:pPr>
      <w:spacing w:before="100" w:beforeAutospacing="1" w:after="100" w:afterAutospacing="1"/>
      <w:ind w:firstLine="0"/>
      <w:jc w:val="left"/>
    </w:pPr>
    <w:rPr>
      <w:rFonts w:eastAsia="Times New Roman"/>
      <w:sz w:val="24"/>
      <w:szCs w:val="24"/>
      <w:lang w:eastAsia="ru-RU"/>
    </w:rPr>
  </w:style>
  <w:style w:type="paragraph" w:styleId="ab">
    <w:name w:val="List Paragraph"/>
    <w:basedOn w:val="a"/>
    <w:uiPriority w:val="34"/>
    <w:qFormat/>
    <w:rsid w:val="00D805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434130">
      <w:bodyDiv w:val="1"/>
      <w:marLeft w:val="0"/>
      <w:marRight w:val="0"/>
      <w:marTop w:val="0"/>
      <w:marBottom w:val="0"/>
      <w:divBdr>
        <w:top w:val="none" w:sz="0" w:space="0" w:color="auto"/>
        <w:left w:val="none" w:sz="0" w:space="0" w:color="auto"/>
        <w:bottom w:val="none" w:sz="0" w:space="0" w:color="auto"/>
        <w:right w:val="none" w:sz="0" w:space="0" w:color="auto"/>
      </w:divBdr>
    </w:div>
    <w:div w:id="765273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0318E5C0FB71425EFB6732992E9A6D26EFFBB3A0B1FF78DC1BA969F0CB4G8J"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10318E5C0FB71425EFB6732992E9A6D26EFFBD3D0B18F78DC1BA969F0CB4G8J"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10318E5C0FB71425EFB6732992E9A6D26EFFBD360B1BF78DC1BA969F0C4879DFE41BF9CB361BBD22BFGEJ" TargetMode="External"/><Relationship Id="rId11" Type="http://schemas.openxmlformats.org/officeDocument/2006/relationships/hyperlink" Target="consultantplus://offline/ref=10318E5C0FB71425EFB6732992E9A6D26EFFBC3E0F11F78DC1BA969F0CB4G8J" TargetMode="External"/><Relationship Id="rId5" Type="http://schemas.openxmlformats.org/officeDocument/2006/relationships/endnotes" Target="endnotes.xml"/><Relationship Id="rId10" Type="http://schemas.openxmlformats.org/officeDocument/2006/relationships/hyperlink" Target="consultantplus://offline/ref=10318E5C0FB71425EFB6732992E9A6D26EFFBC3B0A1AF78DC1BA969F0CB4G8J" TargetMode="External"/><Relationship Id="rId4" Type="http://schemas.openxmlformats.org/officeDocument/2006/relationships/footnotes" Target="footnotes.xml"/><Relationship Id="rId9" Type="http://schemas.openxmlformats.org/officeDocument/2006/relationships/hyperlink" Target="consultantplus://offline/ref=10318E5C0FB71425EFB6732992E9A6D26EFFBD3D0C1CF78DC1BA969F0CB4G8J"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486</TotalTime>
  <Pages>4</Pages>
  <Words>1922</Words>
  <Characters>10957</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Малыгина Т.Г</dc:creator>
  <cp:lastModifiedBy>Ильина Снежанна Алексеевна</cp:lastModifiedBy>
  <cp:revision>12</cp:revision>
  <cp:lastPrinted>2017-08-14T08:40:00Z</cp:lastPrinted>
  <dcterms:created xsi:type="dcterms:W3CDTF">2017-08-11T05:31:00Z</dcterms:created>
  <dcterms:modified xsi:type="dcterms:W3CDTF">2017-09-11T01:50:00Z</dcterms:modified>
</cp:coreProperties>
</file>