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E" w:rsidRPr="00A8699B" w:rsidRDefault="00FF349E" w:rsidP="00FF349E">
      <w:pPr>
        <w:ind w:left="4956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8699B">
        <w:rPr>
          <w:rFonts w:ascii="Times New Roman" w:hAnsi="Times New Roman" w:cs="Times New Roman"/>
          <w:i/>
          <w:sz w:val="26"/>
          <w:szCs w:val="26"/>
        </w:rPr>
        <w:t>Для размещения на сайте</w:t>
      </w:r>
    </w:p>
    <w:p w:rsidR="00FF349E" w:rsidRPr="00A8699B" w:rsidRDefault="00FF349E" w:rsidP="00FF349E">
      <w:pPr>
        <w:ind w:left="4956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8699B">
        <w:rPr>
          <w:rFonts w:ascii="Times New Roman" w:hAnsi="Times New Roman" w:cs="Times New Roman"/>
          <w:i/>
          <w:sz w:val="26"/>
          <w:szCs w:val="26"/>
        </w:rPr>
        <w:t>Амурского УФАС России</w:t>
      </w:r>
    </w:p>
    <w:p w:rsidR="00FF349E" w:rsidRPr="00A8699B" w:rsidRDefault="00FF349E" w:rsidP="00FF349E">
      <w:pPr>
        <w:ind w:left="495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8699B">
        <w:rPr>
          <w:rFonts w:ascii="Times New Roman" w:hAnsi="Times New Roman" w:cs="Times New Roman"/>
          <w:i/>
          <w:sz w:val="26"/>
          <w:szCs w:val="26"/>
        </w:rPr>
        <w:t xml:space="preserve">Раздел «Аналитические материалы» </w:t>
      </w:r>
    </w:p>
    <w:p w:rsidR="004708E5" w:rsidRDefault="004708E5" w:rsidP="004B7B40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C7E" w:rsidRDefault="00B6030B" w:rsidP="004B7B40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30B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B6030B" w:rsidRPr="00B6030B" w:rsidRDefault="00B6030B" w:rsidP="004B7B40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30B">
        <w:rPr>
          <w:rFonts w:ascii="Times New Roman" w:hAnsi="Times New Roman" w:cs="Times New Roman"/>
          <w:b/>
          <w:sz w:val="26"/>
          <w:szCs w:val="26"/>
        </w:rPr>
        <w:t xml:space="preserve">по анализу рынка услуг жилищно-коммунального хозяйства </w:t>
      </w:r>
    </w:p>
    <w:p w:rsidR="00B6030B" w:rsidRDefault="00B6030B" w:rsidP="004B7B4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6030B">
        <w:rPr>
          <w:rFonts w:ascii="Times New Roman" w:hAnsi="Times New Roman" w:cs="Times New Roman"/>
          <w:b/>
          <w:sz w:val="26"/>
          <w:szCs w:val="26"/>
        </w:rPr>
        <w:t>в географических границах г. Благовещенск</w:t>
      </w:r>
      <w:r w:rsidR="0096610E">
        <w:rPr>
          <w:rFonts w:ascii="Times New Roman" w:hAnsi="Times New Roman" w:cs="Times New Roman"/>
          <w:b/>
          <w:sz w:val="26"/>
          <w:szCs w:val="26"/>
        </w:rPr>
        <w:t>а</w:t>
      </w:r>
      <w:r w:rsidR="00E7369A">
        <w:rPr>
          <w:rFonts w:ascii="Times New Roman" w:hAnsi="Times New Roman" w:cs="Times New Roman"/>
          <w:b/>
          <w:sz w:val="26"/>
          <w:szCs w:val="26"/>
        </w:rPr>
        <w:t xml:space="preserve"> Амурской области</w:t>
      </w:r>
    </w:p>
    <w:p w:rsidR="00B6030B" w:rsidRDefault="00B6030B" w:rsidP="004B7B4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57376" w:rsidRDefault="00B6030B" w:rsidP="004B7B40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Амурским УФАС России</w:t>
      </w:r>
      <w:r w:rsidR="001250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приказа ФАС России от 23.04.2015 </w:t>
      </w:r>
      <w:r w:rsidR="00FD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290/15 «Об утверждении перечня товарных рынков для исследования территориальными управлениями ФАС России»</w:t>
      </w:r>
      <w:r w:rsid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</w:t>
      </w:r>
      <w:r w:rsidR="001250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изучение </w:t>
      </w:r>
      <w:r w:rsid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</w:t>
      </w:r>
      <w:r w:rsidR="001250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376" w:rsidRP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жилищно-коммунального хозяйства в географических границах </w:t>
      </w:r>
      <w:r w:rsidR="008A6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D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57376" w:rsidRP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  <w:r w:rsidR="00E7369A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Амурской области</w:t>
      </w:r>
      <w:r w:rsidR="0012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01.01.2016 года</w:t>
      </w:r>
      <w:r w:rsid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Настоящий анализ проводится в целях </w:t>
      </w:r>
      <w:r w:rsidR="00757376" w:rsidRPr="000B2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изменений состояния конкуренции в результате </w:t>
      </w:r>
      <w:proofErr w:type="gramStart"/>
      <w:r w:rsidR="00757376" w:rsidRPr="000B24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мероприятий Стандарта развития конкуренции</w:t>
      </w:r>
      <w:proofErr w:type="gramEnd"/>
      <w:r w:rsidR="00757376" w:rsidRPr="000B2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субъектах Российской Федерации.</w:t>
      </w:r>
    </w:p>
    <w:p w:rsidR="002E760F" w:rsidRPr="00705C1E" w:rsidRDefault="00705C1E" w:rsidP="00705C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705C1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</w:t>
      </w:r>
      <w:r w:rsidRPr="00705C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2E760F" w:rsidRPr="00705C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ходе исследования проанализированы данные по управляющим организациям, осуществляющим деятельность по управлению многоквартирными домами (далее – МКД) на территории г. Благовещен</w:t>
      </w:r>
      <w:r w:rsidR="008C1BD1" w:rsidRPr="00705C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="002E760F" w:rsidRPr="00705C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8A6726" w:rsidRPr="00705C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 Амурской области</w:t>
      </w:r>
      <w:r w:rsidR="002E760F" w:rsidRPr="00705C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proofErr w:type="gramEnd"/>
    </w:p>
    <w:p w:rsidR="002E760F" w:rsidRDefault="002350EC" w:rsidP="004B7B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95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="00695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конкуренции в субъектах Российской Федерации для рынка </w:t>
      </w:r>
      <w:r w:rsidR="002E760F" w:rsidRPr="007573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жилищно-коммунального хозяйства</w:t>
      </w:r>
      <w:r w:rsidR="00695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дол</w:t>
      </w:r>
      <w:r w:rsidR="006958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негосударственных (немуниципальных) управляющих организаций от общего числа управляющих организаций, которые осуществляют деятельность по управлению МКД в населенных пунктах с населением более 100 тыс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  в субъекте Российской Федерации</w:t>
      </w:r>
      <w:r w:rsidR="0069583B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Указанный показатель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2016 году</w:t>
      </w:r>
      <w:r w:rsidR="008C1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</w:t>
      </w:r>
      <w:r w:rsidR="0069583B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8C1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составлять </w:t>
      </w:r>
      <w:r w:rsidR="002E760F">
        <w:rPr>
          <w:rFonts w:ascii="Times New Roman" w:eastAsia="Times New Roman" w:hAnsi="Times New Roman" w:cs="Times New Roman"/>
          <w:sz w:val="26"/>
          <w:szCs w:val="26"/>
          <w:lang w:eastAsia="ru-RU"/>
        </w:rPr>
        <w:t>90%.</w:t>
      </w:r>
    </w:p>
    <w:p w:rsidR="00731373" w:rsidRPr="00994A5C" w:rsidRDefault="00731373" w:rsidP="004B7B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управляющие компании раскрывают информацию о своей деятельности на официальных информационных сайтах в сети интернет: </w:t>
      </w:r>
      <w:hyperlink r:id="rId9" w:history="1">
        <w:r w:rsidRPr="009830E2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830E2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Pr="009830E2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reformagkh</w:t>
        </w:r>
        <w:r w:rsidRPr="009830E2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Pr="009830E2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73137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dom</w:t>
        </w:r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94A5C" w:rsidRPr="00B843E5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94A5C">
        <w:rPr>
          <w:rFonts w:ascii="Times New Roman" w:hAnsi="Times New Roman" w:cs="Times New Roman"/>
          <w:sz w:val="26"/>
          <w:szCs w:val="26"/>
        </w:rPr>
        <w:t>.</w:t>
      </w:r>
    </w:p>
    <w:p w:rsidR="005C58D2" w:rsidRDefault="00ED42E3" w:rsidP="004B7B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58D2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81A81">
        <w:rPr>
          <w:rFonts w:ascii="Times New Roman" w:hAnsi="Times New Roman" w:cs="Times New Roman"/>
          <w:sz w:val="26"/>
          <w:szCs w:val="26"/>
        </w:rPr>
        <w:t>о многоквартирных домах, в которых выбран способ управления управляющей организацией</w:t>
      </w:r>
      <w:r w:rsidR="00311604">
        <w:rPr>
          <w:rFonts w:ascii="Times New Roman" w:hAnsi="Times New Roman" w:cs="Times New Roman"/>
          <w:sz w:val="26"/>
          <w:szCs w:val="26"/>
        </w:rPr>
        <w:t xml:space="preserve"> по состоянию на 01.</w:t>
      </w:r>
      <w:r w:rsidR="00F46A42">
        <w:rPr>
          <w:rFonts w:ascii="Times New Roman" w:hAnsi="Times New Roman" w:cs="Times New Roman"/>
          <w:sz w:val="26"/>
          <w:szCs w:val="26"/>
        </w:rPr>
        <w:t>01.2016</w:t>
      </w:r>
      <w:r w:rsidR="00311604">
        <w:rPr>
          <w:rFonts w:ascii="Times New Roman" w:hAnsi="Times New Roman" w:cs="Times New Roman"/>
          <w:sz w:val="26"/>
          <w:szCs w:val="26"/>
        </w:rPr>
        <w:t xml:space="preserve"> г.</w:t>
      </w:r>
      <w:r w:rsidR="003419E6">
        <w:rPr>
          <w:rFonts w:ascii="Times New Roman" w:hAnsi="Times New Roman" w:cs="Times New Roman"/>
          <w:sz w:val="26"/>
          <w:szCs w:val="26"/>
        </w:rPr>
        <w:t xml:space="preserve"> </w:t>
      </w:r>
      <w:r w:rsidR="008A6726">
        <w:rPr>
          <w:rFonts w:ascii="Times New Roman" w:hAnsi="Times New Roman" w:cs="Times New Roman"/>
          <w:sz w:val="26"/>
          <w:szCs w:val="26"/>
        </w:rPr>
        <w:t>представлен</w:t>
      </w:r>
      <w:r w:rsidR="003419E6">
        <w:rPr>
          <w:rFonts w:ascii="Times New Roman" w:hAnsi="Times New Roman" w:cs="Times New Roman"/>
          <w:sz w:val="26"/>
          <w:szCs w:val="26"/>
        </w:rPr>
        <w:t>а</w:t>
      </w:r>
      <w:r w:rsidR="008A6726">
        <w:rPr>
          <w:rFonts w:ascii="Times New Roman" w:hAnsi="Times New Roman" w:cs="Times New Roman"/>
          <w:sz w:val="26"/>
          <w:szCs w:val="26"/>
        </w:rPr>
        <w:t xml:space="preserve"> в таблице 1.</w:t>
      </w:r>
    </w:p>
    <w:p w:rsidR="003419E6" w:rsidRDefault="003419E6" w:rsidP="004B7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08E5" w:rsidRPr="00D5609E" w:rsidRDefault="004708E5" w:rsidP="004708E5">
      <w:pPr>
        <w:tabs>
          <w:tab w:val="left" w:pos="1493"/>
          <w:tab w:val="left" w:pos="2673"/>
          <w:tab w:val="left" w:pos="3733"/>
          <w:tab w:val="left" w:pos="4893"/>
          <w:tab w:val="left" w:pos="6613"/>
          <w:tab w:val="left" w:pos="77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4708E5" w:rsidRPr="004708E5" w:rsidRDefault="004708E5" w:rsidP="004708E5">
      <w:pPr>
        <w:tabs>
          <w:tab w:val="left" w:pos="1493"/>
          <w:tab w:val="left" w:pos="2673"/>
          <w:tab w:val="left" w:pos="3733"/>
          <w:tab w:val="left" w:pos="4893"/>
          <w:tab w:val="left" w:pos="6613"/>
          <w:tab w:val="left" w:pos="775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</w:pPr>
      <w:r w:rsidRPr="00D560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D5609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</w:p>
    <w:p w:rsidR="004708E5" w:rsidRDefault="004708E5" w:rsidP="00470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560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МКД, в которых выбран способ управления управляющей организацией                                                   </w:t>
      </w:r>
    </w:p>
    <w:p w:rsidR="004708E5" w:rsidRDefault="004708E5" w:rsidP="00470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60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г. Благовещенска Амурской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08E5" w:rsidRDefault="004708E5" w:rsidP="004708E5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01.05.201</w:t>
      </w:r>
      <w:r w:rsidR="00A73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-01.01.2016 (нарастающим итогом)</w:t>
      </w:r>
    </w:p>
    <w:p w:rsidR="004708E5" w:rsidRPr="00D5609E" w:rsidRDefault="004708E5" w:rsidP="004708E5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15"/>
        <w:gridCol w:w="911"/>
        <w:gridCol w:w="1969"/>
        <w:gridCol w:w="1140"/>
        <w:gridCol w:w="2040"/>
      </w:tblGrid>
      <w:tr w:rsidR="003419E6" w:rsidRPr="00D5609E" w:rsidTr="00705C1E">
        <w:trPr>
          <w:trHeight w:val="189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МКД (штук)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под управлением управляющих организаций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 под управлением </w:t>
            </w:r>
            <w:r w:rsidRPr="00D560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частных</w:t>
            </w: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управляющих организаций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 под управлением государственных (муниципальных) управляющих организаций, в том числе</w:t>
            </w:r>
            <w:r w:rsidR="00F4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</w:t>
            </w: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государство владеет частью долей/акций</w:t>
            </w:r>
          </w:p>
        </w:tc>
      </w:tr>
      <w:tr w:rsidR="003419E6" w:rsidRPr="00D5609E" w:rsidTr="004708E5">
        <w:trPr>
          <w:trHeight w:val="254"/>
        </w:trPr>
        <w:tc>
          <w:tcPr>
            <w:tcW w:w="1433" w:type="dxa"/>
            <w:vMerge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(штук)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общего числа МКД</w:t>
            </w:r>
            <w:proofErr w:type="gramStart"/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(штук)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общего числа управляющих организаций</w:t>
            </w:r>
            <w:proofErr w:type="gramStart"/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(штук)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419E6" w:rsidRPr="00D5609E" w:rsidRDefault="003419E6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общего числа управляющих организаций</w:t>
            </w:r>
            <w:proofErr w:type="gramStart"/>
            <w:r w:rsidRPr="00D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419E6" w:rsidRPr="00D5609E" w:rsidTr="004708E5">
        <w:trPr>
          <w:trHeight w:val="330"/>
        </w:trPr>
        <w:tc>
          <w:tcPr>
            <w:tcW w:w="1433" w:type="dxa"/>
            <w:shd w:val="clear" w:color="auto" w:fill="auto"/>
            <w:vAlign w:val="center"/>
          </w:tcPr>
          <w:p w:rsidR="003419E6" w:rsidRPr="00705C1E" w:rsidRDefault="00705C1E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9E6" w:rsidRPr="00D5609E" w:rsidRDefault="00705C1E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419E6" w:rsidRPr="00D5609E" w:rsidRDefault="004123AF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419E6" w:rsidRPr="00D5609E" w:rsidRDefault="00705C1E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419E6" w:rsidRPr="00D5609E" w:rsidRDefault="004123AF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419E6" w:rsidRPr="00D5609E" w:rsidRDefault="00705C1E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19E6" w:rsidRPr="00D5609E" w:rsidRDefault="004123AF" w:rsidP="004B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</w:tbl>
    <w:p w:rsidR="003419E6" w:rsidRDefault="003419E6" w:rsidP="004B7B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C07" w:rsidRDefault="00ED1932" w:rsidP="00BC4C07">
      <w:pPr>
        <w:pStyle w:val="ConsPlusNormal"/>
        <w:widowControl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36A48">
        <w:rPr>
          <w:rFonts w:ascii="Times New Roman" w:hAnsi="Times New Roman" w:cs="Times New Roman"/>
          <w:sz w:val="26"/>
          <w:szCs w:val="26"/>
        </w:rPr>
        <w:t>ведения о перечне управляющих организаци</w:t>
      </w:r>
      <w:r w:rsidR="00FD6634">
        <w:rPr>
          <w:rFonts w:ascii="Times New Roman" w:hAnsi="Times New Roman" w:cs="Times New Roman"/>
          <w:sz w:val="26"/>
          <w:szCs w:val="26"/>
        </w:rPr>
        <w:t>й</w:t>
      </w:r>
      <w:r w:rsidR="00F36A48">
        <w:rPr>
          <w:rFonts w:ascii="Times New Roman" w:hAnsi="Times New Roman" w:cs="Times New Roman"/>
          <w:sz w:val="26"/>
          <w:szCs w:val="26"/>
        </w:rPr>
        <w:t>, осуществляющих деятельность по управлению МКД на территории г. Благовещенск</w:t>
      </w:r>
      <w:r w:rsidR="00ED78AC">
        <w:rPr>
          <w:rFonts w:ascii="Times New Roman" w:hAnsi="Times New Roman" w:cs="Times New Roman"/>
          <w:sz w:val="26"/>
          <w:szCs w:val="26"/>
        </w:rPr>
        <w:t>а</w:t>
      </w:r>
      <w:r w:rsidR="00F36A48">
        <w:rPr>
          <w:rFonts w:ascii="Times New Roman" w:hAnsi="Times New Roman" w:cs="Times New Roman"/>
          <w:sz w:val="26"/>
          <w:szCs w:val="26"/>
        </w:rPr>
        <w:t xml:space="preserve"> </w:t>
      </w:r>
      <w:r w:rsidR="00311604">
        <w:rPr>
          <w:rFonts w:ascii="Times New Roman" w:hAnsi="Times New Roman" w:cs="Times New Roman"/>
          <w:sz w:val="26"/>
          <w:szCs w:val="26"/>
        </w:rPr>
        <w:t xml:space="preserve">Амурской области </w:t>
      </w:r>
      <w:r w:rsidR="00F36A48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5C3F01">
        <w:rPr>
          <w:rFonts w:ascii="Times New Roman" w:hAnsi="Times New Roman" w:cs="Times New Roman"/>
          <w:sz w:val="26"/>
          <w:szCs w:val="26"/>
        </w:rPr>
        <w:t>01</w:t>
      </w:r>
      <w:r w:rsidR="00F36A48">
        <w:rPr>
          <w:rFonts w:ascii="Times New Roman" w:hAnsi="Times New Roman" w:cs="Times New Roman"/>
          <w:sz w:val="26"/>
          <w:szCs w:val="26"/>
        </w:rPr>
        <w:t>.201</w:t>
      </w:r>
      <w:r w:rsidR="005C3F01">
        <w:rPr>
          <w:rFonts w:ascii="Times New Roman" w:hAnsi="Times New Roman" w:cs="Times New Roman"/>
          <w:sz w:val="26"/>
          <w:szCs w:val="26"/>
        </w:rPr>
        <w:t>6</w:t>
      </w:r>
      <w:r w:rsidR="00F36A48">
        <w:rPr>
          <w:rFonts w:ascii="Times New Roman" w:hAnsi="Times New Roman" w:cs="Times New Roman"/>
          <w:sz w:val="26"/>
          <w:szCs w:val="26"/>
        </w:rPr>
        <w:t xml:space="preserve"> г. представлен</w:t>
      </w:r>
      <w:r w:rsidR="00FB15E7">
        <w:rPr>
          <w:rFonts w:ascii="Times New Roman" w:hAnsi="Times New Roman" w:cs="Times New Roman"/>
          <w:sz w:val="26"/>
          <w:szCs w:val="26"/>
        </w:rPr>
        <w:t xml:space="preserve">ы в таблице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15E7">
        <w:rPr>
          <w:rFonts w:ascii="Times New Roman" w:hAnsi="Times New Roman" w:cs="Times New Roman"/>
          <w:sz w:val="26"/>
          <w:szCs w:val="26"/>
        </w:rPr>
        <w:t>.</w:t>
      </w:r>
    </w:p>
    <w:p w:rsidR="00BC4C07" w:rsidRDefault="00BC4C07" w:rsidP="00BC4C07">
      <w:pPr>
        <w:pStyle w:val="ConsPlusNormal"/>
        <w:widowControl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2DE8" w:rsidRPr="00D32DE8" w:rsidRDefault="00D32DE8" w:rsidP="00BC4C07">
      <w:pPr>
        <w:pStyle w:val="ConsPlusNormal"/>
        <w:widowControl/>
        <w:tabs>
          <w:tab w:val="left" w:pos="4860"/>
        </w:tabs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32DE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D1932">
        <w:rPr>
          <w:rFonts w:ascii="Times New Roman" w:hAnsi="Times New Roman" w:cs="Times New Roman"/>
          <w:sz w:val="26"/>
          <w:szCs w:val="26"/>
        </w:rPr>
        <w:t>2</w:t>
      </w:r>
    </w:p>
    <w:p w:rsidR="00D32DE8" w:rsidRPr="00D32DE8" w:rsidRDefault="00D32DE8" w:rsidP="00BC4C0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2DE8" w:rsidRDefault="00D32DE8" w:rsidP="004B7B40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2DE8">
        <w:rPr>
          <w:rFonts w:ascii="Times New Roman" w:hAnsi="Times New Roman" w:cs="Times New Roman"/>
          <w:sz w:val="26"/>
          <w:szCs w:val="26"/>
        </w:rPr>
        <w:t xml:space="preserve">Сведения об управляющих организациях на территории г. Благовещенска  </w:t>
      </w:r>
      <w:r w:rsidR="005C3F01" w:rsidRPr="00D560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Амурской области</w:t>
      </w:r>
      <w:r w:rsidR="005C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32DE8">
        <w:rPr>
          <w:rFonts w:ascii="Times New Roman" w:hAnsi="Times New Roman" w:cs="Times New Roman"/>
          <w:sz w:val="26"/>
          <w:szCs w:val="26"/>
        </w:rPr>
        <w:t>за период 01.05.201</w:t>
      </w:r>
      <w:r w:rsidR="003D258C">
        <w:rPr>
          <w:rFonts w:ascii="Times New Roman" w:hAnsi="Times New Roman" w:cs="Times New Roman"/>
          <w:sz w:val="26"/>
          <w:szCs w:val="26"/>
        </w:rPr>
        <w:t>5</w:t>
      </w:r>
      <w:r w:rsidRPr="00D32DE8">
        <w:rPr>
          <w:rFonts w:ascii="Times New Roman" w:hAnsi="Times New Roman" w:cs="Times New Roman"/>
          <w:sz w:val="26"/>
          <w:szCs w:val="26"/>
        </w:rPr>
        <w:t>-01.01.2016 (нарастающим итогом)</w:t>
      </w:r>
    </w:p>
    <w:p w:rsidR="00D32DE8" w:rsidRPr="00D32DE8" w:rsidRDefault="00D32DE8" w:rsidP="00D32DE8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3224"/>
      </w:tblGrid>
      <w:tr w:rsidR="00705C1E" w:rsidRPr="00994A5C" w:rsidTr="00705C1E">
        <w:trPr>
          <w:trHeight w:val="2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C1E" w:rsidRPr="00994A5C" w:rsidRDefault="00705C1E" w:rsidP="00994A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1E" w:rsidRPr="00994A5C" w:rsidRDefault="00705C1E" w:rsidP="00994A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 xml:space="preserve">Доля МКД, </w:t>
            </w:r>
            <w:proofErr w:type="gramStart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 xml:space="preserve"> под управлением соответствующей организации, от общего количества МКД, %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"Благовещенская Управляющая Компания"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1E" w:rsidRPr="00705C1E" w:rsidRDefault="00705C1E" w:rsidP="00705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&gt;35,00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Управ-Дом</w:t>
            </w:r>
            <w:proofErr w:type="gram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705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Жил-Комфорт</w:t>
            </w:r>
            <w:proofErr w:type="gram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1E" w:rsidRPr="00994A5C" w:rsidRDefault="00705C1E" w:rsidP="00705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"Городская управляющая компания-ГУК 1"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Евросервис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"Д/У №1"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"ЖКХ 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Амурстрой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"Городская управляющая компания-ГУК 2"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"Управление жильем Благовещенска"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Евросервис</w:t>
            </w:r>
            <w:proofErr w:type="spellEnd"/>
            <w:proofErr w:type="gram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 № 3"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"УК "Золотой ключ"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Евросервис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"Д/У №12"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Амурблагуправление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Евросервис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"Д/У №5"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"Жил-Комфорт-2"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"Аварийно-восстановительная компания"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"Жил-Комфорт-3"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"Прогресс-2"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Аварийно-восстановительная</w:t>
            </w:r>
            <w:proofErr w:type="gram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компания-2"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"Аква-Имидж"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«Амурский Жилищный Стандарт» Благовещенск»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«Амурский Регион»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"БЛАГОВЕЩЕНСКАЯ УПРАВЛЯЮЩАЯ КОМПАНИЯ"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Прогресс"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«Амурская управляющая компания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Благовещенск</w:t>
            </w: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"Амурская управляющая компания"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Амурплодсемпром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«Амурский жилищный стандарт»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"Мастер</w:t>
            </w:r>
            <w:proofErr w:type="gramStart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"Городская управляющая компания"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Стройкомсервис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"Мастер-Д"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"Городская управляющая компания"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5E4AF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Управляющая компания "Престиж"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705C1E">
        <w:trPr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70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"ЖК-Сервис"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705C1E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374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РИАЛ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374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«ТЕХЭКСПЛУАТАЦИЯ»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374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Управляющая компания "Аист"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374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Эскалибур</w:t>
            </w:r>
            <w:proofErr w:type="spellEnd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3741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Амурстрой</w:t>
            </w:r>
            <w:proofErr w:type="spellEnd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 xml:space="preserve"> ЖКХ"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A5E5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Евросервис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"Д/У №7"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A5E5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"Управляющая 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</w:t>
            </w:r>
            <w:proofErr w:type="gram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я"</w:t>
            </w:r>
            <w:proofErr w:type="gram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Хуафу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A5E5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Тепловодремстрой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A5E5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«Управление жильем Благовещенска»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FA5E52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"Амур АРС"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C10586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"Дом-Сервис"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C10586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"Амурская Региональная Строительная Компания"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C10586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ЭнергоЦентр</w:t>
            </w:r>
            <w:proofErr w:type="spellEnd"/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-Восток"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1E" w:rsidRDefault="00705C1E" w:rsidP="00E67B37">
            <w:pPr>
              <w:spacing w:after="0" w:line="240" w:lineRule="auto"/>
              <w:jc w:val="center"/>
            </w:pPr>
            <w:r w:rsidRPr="0051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"ЖКХ-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Жилкомфорт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«Управляющая компания «Новые проекты»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«Восток-13»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Стройремонтпроект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БлагТрансСтрой</w:t>
            </w:r>
            <w:proofErr w:type="spellEnd"/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5C1E" w:rsidRPr="00994A5C" w:rsidTr="00705C1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C1E" w:rsidRPr="00994A5C" w:rsidRDefault="00705C1E" w:rsidP="0099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Черномор"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1E" w:rsidRPr="00994A5C" w:rsidRDefault="00705C1E" w:rsidP="0099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05C1E" w:rsidRDefault="00705C1E" w:rsidP="006E4C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5E7" w:rsidRDefault="00F84133" w:rsidP="00705C1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310A">
        <w:rPr>
          <w:rFonts w:ascii="Times New Roman" w:hAnsi="Times New Roman" w:cs="Times New Roman"/>
          <w:sz w:val="26"/>
          <w:szCs w:val="26"/>
        </w:rPr>
        <w:t>Дополнительно к таблицам 1, 2</w:t>
      </w:r>
      <w:r w:rsidR="00FF15E0">
        <w:rPr>
          <w:rFonts w:ascii="Times New Roman" w:hAnsi="Times New Roman" w:cs="Times New Roman"/>
          <w:sz w:val="26"/>
          <w:szCs w:val="26"/>
        </w:rPr>
        <w:t>:</w:t>
      </w:r>
    </w:p>
    <w:p w:rsidR="00311604" w:rsidRPr="00ED78AC" w:rsidRDefault="00311604" w:rsidP="00705C1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78AC">
        <w:rPr>
          <w:rFonts w:ascii="Times New Roman" w:hAnsi="Times New Roman" w:cs="Times New Roman"/>
          <w:b/>
          <w:sz w:val="25"/>
          <w:szCs w:val="25"/>
        </w:rPr>
        <w:t>Определение доли частных управляющих организаций на рынке МКД.</w:t>
      </w:r>
    </w:p>
    <w:p w:rsidR="00931655" w:rsidRDefault="00F36A48" w:rsidP="006E4C1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11604">
        <w:rPr>
          <w:rFonts w:ascii="Times New Roman" w:hAnsi="Times New Roman" w:cs="Times New Roman"/>
          <w:sz w:val="26"/>
          <w:szCs w:val="26"/>
        </w:rPr>
        <w:t xml:space="preserve">Исходя из </w:t>
      </w:r>
      <w:r w:rsidR="001B2845">
        <w:rPr>
          <w:rFonts w:ascii="Times New Roman" w:hAnsi="Times New Roman" w:cs="Times New Roman"/>
          <w:sz w:val="26"/>
          <w:szCs w:val="26"/>
        </w:rPr>
        <w:t>информации</w:t>
      </w:r>
      <w:r w:rsidRPr="00311604">
        <w:rPr>
          <w:rFonts w:ascii="Times New Roman" w:hAnsi="Times New Roman" w:cs="Times New Roman"/>
          <w:sz w:val="26"/>
          <w:szCs w:val="26"/>
        </w:rPr>
        <w:t>, представленн</w:t>
      </w:r>
      <w:r w:rsidR="001B2845">
        <w:rPr>
          <w:rFonts w:ascii="Times New Roman" w:hAnsi="Times New Roman" w:cs="Times New Roman"/>
          <w:sz w:val="26"/>
          <w:szCs w:val="26"/>
        </w:rPr>
        <w:t>ой</w:t>
      </w:r>
      <w:r w:rsidR="00D1616F">
        <w:rPr>
          <w:rFonts w:ascii="Times New Roman" w:hAnsi="Times New Roman" w:cs="Times New Roman"/>
          <w:sz w:val="26"/>
          <w:szCs w:val="26"/>
        </w:rPr>
        <w:t xml:space="preserve"> в таблицах 1 и 2</w:t>
      </w:r>
      <w:r w:rsidR="00557AF8">
        <w:rPr>
          <w:rFonts w:ascii="Times New Roman" w:hAnsi="Times New Roman" w:cs="Times New Roman"/>
          <w:sz w:val="26"/>
          <w:szCs w:val="26"/>
        </w:rPr>
        <w:t>,</w:t>
      </w:r>
      <w:r w:rsidRPr="00311604">
        <w:rPr>
          <w:rFonts w:ascii="Times New Roman" w:hAnsi="Times New Roman" w:cs="Times New Roman"/>
          <w:sz w:val="26"/>
          <w:szCs w:val="26"/>
        </w:rPr>
        <w:t xml:space="preserve"> доля негосударственных (немуниципальных) управляющих организаций от общего числа управляющих организаций, осуществляющих деятельность по управлению МКД</w:t>
      </w:r>
      <w:r w:rsidR="00D1616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11604">
        <w:rPr>
          <w:rFonts w:ascii="Times New Roman" w:hAnsi="Times New Roman" w:cs="Times New Roman"/>
          <w:sz w:val="26"/>
          <w:szCs w:val="26"/>
        </w:rPr>
        <w:t>г. Благовещенск</w:t>
      </w:r>
      <w:r w:rsidR="001B2845">
        <w:rPr>
          <w:rFonts w:ascii="Times New Roman" w:hAnsi="Times New Roman" w:cs="Times New Roman"/>
          <w:sz w:val="26"/>
          <w:szCs w:val="26"/>
        </w:rPr>
        <w:t>а</w:t>
      </w:r>
      <w:r w:rsidR="00311604">
        <w:rPr>
          <w:rFonts w:ascii="Times New Roman" w:hAnsi="Times New Roman" w:cs="Times New Roman"/>
          <w:sz w:val="26"/>
          <w:szCs w:val="26"/>
        </w:rPr>
        <w:t xml:space="preserve"> Амурской области,</w:t>
      </w:r>
      <w:r w:rsidRPr="00311604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870283">
        <w:rPr>
          <w:rFonts w:ascii="Times New Roman" w:hAnsi="Times New Roman" w:cs="Times New Roman"/>
          <w:sz w:val="26"/>
          <w:szCs w:val="26"/>
        </w:rPr>
        <w:t>100</w:t>
      </w:r>
      <w:r w:rsidRPr="00311604">
        <w:rPr>
          <w:rFonts w:ascii="Times New Roman" w:hAnsi="Times New Roman" w:cs="Times New Roman"/>
          <w:sz w:val="26"/>
          <w:szCs w:val="26"/>
        </w:rPr>
        <w:t>%.</w:t>
      </w:r>
      <w:r w:rsidR="00445D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A48" w:rsidRPr="00ED78AC" w:rsidRDefault="00ED78AC" w:rsidP="006E4C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78AC">
        <w:rPr>
          <w:rFonts w:ascii="Times New Roman" w:hAnsi="Times New Roman" w:cs="Times New Roman"/>
          <w:b/>
          <w:sz w:val="25"/>
          <w:szCs w:val="25"/>
        </w:rPr>
        <w:t xml:space="preserve">1.2. </w:t>
      </w:r>
      <w:r w:rsidR="00FB15E7" w:rsidRPr="00ED78AC">
        <w:rPr>
          <w:rFonts w:ascii="Times New Roman" w:hAnsi="Times New Roman" w:cs="Times New Roman"/>
          <w:b/>
          <w:sz w:val="25"/>
          <w:szCs w:val="25"/>
        </w:rPr>
        <w:t>Определение у</w:t>
      </w:r>
      <w:r w:rsidR="00F36A48" w:rsidRPr="00ED78AC">
        <w:rPr>
          <w:rFonts w:ascii="Times New Roman" w:hAnsi="Times New Roman" w:cs="Times New Roman"/>
          <w:b/>
          <w:sz w:val="25"/>
          <w:szCs w:val="25"/>
        </w:rPr>
        <w:t>ров</w:t>
      </w:r>
      <w:r w:rsidR="00FB15E7" w:rsidRPr="00ED78AC">
        <w:rPr>
          <w:rFonts w:ascii="Times New Roman" w:hAnsi="Times New Roman" w:cs="Times New Roman"/>
          <w:b/>
          <w:sz w:val="25"/>
          <w:szCs w:val="25"/>
        </w:rPr>
        <w:t>ня</w:t>
      </w:r>
      <w:r w:rsidR="00F36A48" w:rsidRPr="00ED78AC">
        <w:rPr>
          <w:rFonts w:ascii="Times New Roman" w:hAnsi="Times New Roman" w:cs="Times New Roman"/>
          <w:b/>
          <w:sz w:val="25"/>
          <w:szCs w:val="25"/>
        </w:rPr>
        <w:t xml:space="preserve"> концентрации рынка </w:t>
      </w:r>
      <w:r w:rsidR="00FB15E7" w:rsidRPr="00ED78AC">
        <w:rPr>
          <w:rFonts w:ascii="Times New Roman" w:hAnsi="Times New Roman" w:cs="Times New Roman"/>
          <w:b/>
          <w:sz w:val="25"/>
          <w:szCs w:val="25"/>
        </w:rPr>
        <w:t>услуг по управлению МКД</w:t>
      </w:r>
      <w:r w:rsidR="00311604" w:rsidRPr="00ED78AC">
        <w:rPr>
          <w:rFonts w:ascii="Times New Roman" w:hAnsi="Times New Roman" w:cs="Times New Roman"/>
          <w:b/>
          <w:sz w:val="25"/>
          <w:szCs w:val="25"/>
        </w:rPr>
        <w:t>.</w:t>
      </w:r>
    </w:p>
    <w:p w:rsidR="00FB15E7" w:rsidRDefault="00FB15E7" w:rsidP="006E4C16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416D4">
        <w:rPr>
          <w:rFonts w:ascii="Times New Roman" w:hAnsi="Times New Roman" w:cs="Times New Roman"/>
          <w:sz w:val="26"/>
          <w:szCs w:val="26"/>
        </w:rPr>
        <w:t>Для определения уровня концентрации товарного рынка в соответствии с пунктом 7.1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5E7">
        <w:rPr>
          <w:rFonts w:ascii="Times New Roman" w:hAnsi="Times New Roman" w:cs="Times New Roman"/>
          <w:sz w:val="26"/>
          <w:szCs w:val="26"/>
        </w:rPr>
        <w:t>проведения анализа состояния конкуренции на товарном рынке</w:t>
      </w:r>
      <w:r>
        <w:rPr>
          <w:rFonts w:ascii="Times New Roman" w:hAnsi="Times New Roman" w:cs="Times New Roman"/>
          <w:sz w:val="26"/>
          <w:szCs w:val="26"/>
        </w:rPr>
        <w:t>, утвержденного приказом ФАС России от 28.04.2010 № 220,</w:t>
      </w:r>
      <w:r w:rsidRPr="003416D4">
        <w:rPr>
          <w:rFonts w:ascii="Times New Roman" w:hAnsi="Times New Roman" w:cs="Times New Roman"/>
          <w:sz w:val="26"/>
          <w:szCs w:val="26"/>
        </w:rPr>
        <w:t xml:space="preserve"> используются коэффициент рыночной концентрации (</w:t>
      </w:r>
      <w:r w:rsidRPr="003416D4">
        <w:rPr>
          <w:rFonts w:ascii="Times New Roman" w:hAnsi="Times New Roman" w:cs="Times New Roman"/>
          <w:b/>
          <w:i/>
          <w:sz w:val="26"/>
          <w:szCs w:val="26"/>
        </w:rPr>
        <w:t>CR</w:t>
      </w:r>
      <w:r w:rsidRPr="003416D4">
        <w:rPr>
          <w:rFonts w:ascii="Times New Roman" w:hAnsi="Times New Roman" w:cs="Times New Roman"/>
          <w:sz w:val="26"/>
          <w:szCs w:val="26"/>
        </w:rPr>
        <w:t xml:space="preserve">) и индекс рыночной концентрации </w:t>
      </w:r>
      <w:proofErr w:type="spellStart"/>
      <w:r w:rsidRPr="003416D4">
        <w:rPr>
          <w:rFonts w:ascii="Times New Roman" w:hAnsi="Times New Roman" w:cs="Times New Roman"/>
          <w:sz w:val="26"/>
          <w:szCs w:val="26"/>
        </w:rPr>
        <w:t>Герфиндаля-Гиршмана</w:t>
      </w:r>
      <w:proofErr w:type="spellEnd"/>
      <w:r w:rsidRPr="003416D4">
        <w:rPr>
          <w:rFonts w:ascii="Times New Roman" w:hAnsi="Times New Roman" w:cs="Times New Roman"/>
          <w:sz w:val="26"/>
          <w:szCs w:val="26"/>
        </w:rPr>
        <w:t xml:space="preserve"> (</w:t>
      </w:r>
      <w:r w:rsidRPr="003416D4">
        <w:rPr>
          <w:rFonts w:ascii="Times New Roman" w:hAnsi="Times New Roman" w:cs="Times New Roman"/>
          <w:b/>
          <w:i/>
          <w:sz w:val="26"/>
          <w:szCs w:val="26"/>
        </w:rPr>
        <w:t>HHI</w:t>
      </w:r>
      <w:r w:rsidRPr="003416D4">
        <w:rPr>
          <w:rFonts w:ascii="Times New Roman" w:hAnsi="Times New Roman" w:cs="Times New Roman"/>
          <w:sz w:val="26"/>
          <w:szCs w:val="26"/>
        </w:rPr>
        <w:t>).</w:t>
      </w:r>
    </w:p>
    <w:p w:rsidR="0034721A" w:rsidRDefault="009E60FB" w:rsidP="006E4C16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416D4">
        <w:rPr>
          <w:rFonts w:ascii="Times New Roman" w:hAnsi="Times New Roman" w:cs="Times New Roman"/>
          <w:sz w:val="26"/>
          <w:szCs w:val="26"/>
        </w:rPr>
        <w:t xml:space="preserve">оэффициент рыночной </w:t>
      </w:r>
      <w:r w:rsidRPr="003E5F98">
        <w:rPr>
          <w:rFonts w:ascii="Times New Roman" w:hAnsi="Times New Roman" w:cs="Times New Roman"/>
          <w:sz w:val="26"/>
          <w:szCs w:val="26"/>
        </w:rPr>
        <w:t>концентрации (</w:t>
      </w:r>
      <w:r w:rsidRPr="003E5F98">
        <w:rPr>
          <w:rFonts w:ascii="Times New Roman" w:hAnsi="Times New Roman" w:cs="Times New Roman"/>
          <w:i/>
          <w:sz w:val="26"/>
          <w:szCs w:val="26"/>
        </w:rPr>
        <w:t>CR</w:t>
      </w:r>
      <w:r w:rsidRPr="003E5F98">
        <w:rPr>
          <w:rFonts w:ascii="Times New Roman" w:hAnsi="Times New Roman" w:cs="Times New Roman"/>
          <w:sz w:val="26"/>
          <w:szCs w:val="26"/>
        </w:rPr>
        <w:t xml:space="preserve">) и индекс рыночной концентрации </w:t>
      </w:r>
      <w:proofErr w:type="spellStart"/>
      <w:r w:rsidRPr="003E5F98">
        <w:rPr>
          <w:rFonts w:ascii="Times New Roman" w:hAnsi="Times New Roman" w:cs="Times New Roman"/>
          <w:sz w:val="26"/>
          <w:szCs w:val="26"/>
        </w:rPr>
        <w:t>Герфиндаля-Гиршмана</w:t>
      </w:r>
      <w:proofErr w:type="spellEnd"/>
      <w:r w:rsidRPr="003E5F98">
        <w:rPr>
          <w:rFonts w:ascii="Times New Roman" w:hAnsi="Times New Roman" w:cs="Times New Roman"/>
          <w:sz w:val="26"/>
          <w:szCs w:val="26"/>
        </w:rPr>
        <w:t xml:space="preserve"> (</w:t>
      </w:r>
      <w:r w:rsidRPr="003E5F98">
        <w:rPr>
          <w:rFonts w:ascii="Times New Roman" w:hAnsi="Times New Roman" w:cs="Times New Roman"/>
          <w:i/>
          <w:sz w:val="26"/>
          <w:szCs w:val="26"/>
        </w:rPr>
        <w:t>HHI</w:t>
      </w:r>
      <w:r w:rsidRPr="003E5F98">
        <w:rPr>
          <w:rFonts w:ascii="Times New Roman" w:hAnsi="Times New Roman" w:cs="Times New Roman"/>
          <w:sz w:val="26"/>
          <w:szCs w:val="26"/>
        </w:rPr>
        <w:t>) рассчитан</w:t>
      </w:r>
      <w:r w:rsidR="00763358" w:rsidRPr="003E5F98">
        <w:rPr>
          <w:rFonts w:ascii="Times New Roman" w:hAnsi="Times New Roman" w:cs="Times New Roman"/>
          <w:sz w:val="26"/>
          <w:szCs w:val="26"/>
        </w:rPr>
        <w:t>ы</w:t>
      </w:r>
      <w:r w:rsidRPr="003E5F98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763358" w:rsidRPr="003E5F98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C95194">
        <w:rPr>
          <w:rFonts w:ascii="Times New Roman" w:hAnsi="Times New Roman" w:cs="Times New Roman"/>
          <w:sz w:val="26"/>
          <w:szCs w:val="26"/>
        </w:rPr>
        <w:t>(таблица 2)</w:t>
      </w:r>
      <w:r w:rsidR="00C95194" w:rsidRPr="003E5F98">
        <w:rPr>
          <w:rFonts w:ascii="Times New Roman" w:hAnsi="Times New Roman" w:cs="Times New Roman"/>
          <w:sz w:val="26"/>
          <w:szCs w:val="26"/>
        </w:rPr>
        <w:t xml:space="preserve"> </w:t>
      </w:r>
      <w:r w:rsidR="00763358" w:rsidRPr="003E5F98">
        <w:rPr>
          <w:rFonts w:ascii="Times New Roman" w:hAnsi="Times New Roman" w:cs="Times New Roman"/>
          <w:sz w:val="26"/>
          <w:szCs w:val="26"/>
        </w:rPr>
        <w:t>«</w:t>
      </w:r>
      <w:r w:rsidRPr="003E5F98">
        <w:rPr>
          <w:rFonts w:ascii="Times New Roman" w:hAnsi="Times New Roman" w:cs="Times New Roman"/>
          <w:sz w:val="26"/>
          <w:szCs w:val="26"/>
        </w:rPr>
        <w:t>дол</w:t>
      </w:r>
      <w:r w:rsidR="00763358" w:rsidRPr="003E5F98">
        <w:rPr>
          <w:rFonts w:ascii="Times New Roman" w:hAnsi="Times New Roman" w:cs="Times New Roman"/>
          <w:sz w:val="26"/>
          <w:szCs w:val="26"/>
        </w:rPr>
        <w:t>я</w:t>
      </w:r>
      <w:r w:rsidRPr="003E5F98">
        <w:rPr>
          <w:rFonts w:ascii="Times New Roman" w:hAnsi="Times New Roman" w:cs="Times New Roman"/>
          <w:sz w:val="26"/>
          <w:szCs w:val="26"/>
        </w:rPr>
        <w:t xml:space="preserve"> МКД, </w:t>
      </w:r>
      <w:proofErr w:type="gramStart"/>
      <w:r w:rsidRPr="003E5F98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3E5F98">
        <w:rPr>
          <w:rFonts w:ascii="Times New Roman" w:hAnsi="Times New Roman" w:cs="Times New Roman"/>
          <w:sz w:val="26"/>
          <w:szCs w:val="26"/>
        </w:rPr>
        <w:t xml:space="preserve"> под управлением соответствующей организации, от общего количества МКД</w:t>
      </w:r>
      <w:r w:rsidR="00763358" w:rsidRPr="003E5F98">
        <w:rPr>
          <w:rFonts w:ascii="Times New Roman" w:hAnsi="Times New Roman" w:cs="Times New Roman"/>
          <w:sz w:val="26"/>
          <w:szCs w:val="26"/>
        </w:rPr>
        <w:t>». Коэффициент рыночной концентрации (</w:t>
      </w:r>
      <w:r w:rsidR="00763358" w:rsidRPr="003E5F98">
        <w:rPr>
          <w:rFonts w:ascii="Times New Roman" w:hAnsi="Times New Roman" w:cs="Times New Roman"/>
          <w:i/>
          <w:sz w:val="26"/>
          <w:szCs w:val="26"/>
        </w:rPr>
        <w:t>CR</w:t>
      </w:r>
      <w:r w:rsidR="003E5F98" w:rsidRPr="003E5F98">
        <w:rPr>
          <w:rFonts w:ascii="Times New Roman" w:hAnsi="Times New Roman" w:cs="Times New Roman"/>
          <w:i/>
          <w:sz w:val="26"/>
          <w:szCs w:val="26"/>
        </w:rPr>
        <w:t>3</w:t>
      </w:r>
      <w:r w:rsidR="00763358" w:rsidRPr="003E5F98">
        <w:rPr>
          <w:rFonts w:ascii="Times New Roman" w:hAnsi="Times New Roman" w:cs="Times New Roman"/>
          <w:sz w:val="26"/>
          <w:szCs w:val="26"/>
        </w:rPr>
        <w:t>) на 01.0</w:t>
      </w:r>
      <w:r w:rsidR="007D7E0D">
        <w:rPr>
          <w:rFonts w:ascii="Times New Roman" w:hAnsi="Times New Roman" w:cs="Times New Roman"/>
          <w:sz w:val="26"/>
          <w:szCs w:val="26"/>
        </w:rPr>
        <w:t>1</w:t>
      </w:r>
      <w:r w:rsidR="00763358" w:rsidRPr="003E5F98">
        <w:rPr>
          <w:rFonts w:ascii="Times New Roman" w:hAnsi="Times New Roman" w:cs="Times New Roman"/>
          <w:sz w:val="26"/>
          <w:szCs w:val="26"/>
        </w:rPr>
        <w:t>.201</w:t>
      </w:r>
      <w:r w:rsidR="00C95194">
        <w:rPr>
          <w:rFonts w:ascii="Times New Roman" w:hAnsi="Times New Roman" w:cs="Times New Roman"/>
          <w:sz w:val="26"/>
          <w:szCs w:val="26"/>
        </w:rPr>
        <w:t>6</w:t>
      </w:r>
      <w:r w:rsidR="00763358" w:rsidRPr="003E5F98">
        <w:rPr>
          <w:rFonts w:ascii="Times New Roman" w:hAnsi="Times New Roman" w:cs="Times New Roman"/>
          <w:sz w:val="26"/>
          <w:szCs w:val="26"/>
        </w:rPr>
        <w:t xml:space="preserve"> </w:t>
      </w:r>
      <w:r w:rsidR="003E5F98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C95194">
        <w:rPr>
          <w:rFonts w:ascii="Times New Roman" w:hAnsi="Times New Roman" w:cs="Times New Roman"/>
          <w:sz w:val="26"/>
          <w:szCs w:val="26"/>
        </w:rPr>
        <w:t>55,29</w:t>
      </w:r>
      <w:r w:rsidR="003E5F98">
        <w:rPr>
          <w:rFonts w:ascii="Times New Roman" w:hAnsi="Times New Roman" w:cs="Times New Roman"/>
          <w:sz w:val="26"/>
          <w:szCs w:val="26"/>
        </w:rPr>
        <w:t>%,</w:t>
      </w:r>
      <w:r w:rsidR="00C95194">
        <w:rPr>
          <w:rFonts w:ascii="Times New Roman" w:hAnsi="Times New Roman" w:cs="Times New Roman"/>
          <w:sz w:val="26"/>
          <w:szCs w:val="26"/>
        </w:rPr>
        <w:t xml:space="preserve"> а значение и</w:t>
      </w:r>
      <w:r w:rsidR="00C95194" w:rsidRPr="003E5F98">
        <w:rPr>
          <w:rFonts w:ascii="Times New Roman" w:hAnsi="Times New Roman" w:cs="Times New Roman"/>
          <w:sz w:val="26"/>
          <w:szCs w:val="26"/>
        </w:rPr>
        <w:t>ндекс</w:t>
      </w:r>
      <w:r w:rsidR="00C95194">
        <w:rPr>
          <w:rFonts w:ascii="Times New Roman" w:hAnsi="Times New Roman" w:cs="Times New Roman"/>
          <w:sz w:val="26"/>
          <w:szCs w:val="26"/>
        </w:rPr>
        <w:t>а</w:t>
      </w:r>
      <w:r w:rsidR="00C95194" w:rsidRPr="003E5F98">
        <w:rPr>
          <w:rFonts w:ascii="Times New Roman" w:hAnsi="Times New Roman" w:cs="Times New Roman"/>
          <w:sz w:val="26"/>
          <w:szCs w:val="26"/>
        </w:rPr>
        <w:t xml:space="preserve"> рыночной концентрации </w:t>
      </w:r>
      <w:proofErr w:type="spellStart"/>
      <w:r w:rsidR="00C95194" w:rsidRPr="003E5F98">
        <w:rPr>
          <w:rFonts w:ascii="Times New Roman" w:hAnsi="Times New Roman" w:cs="Times New Roman"/>
          <w:sz w:val="26"/>
          <w:szCs w:val="26"/>
        </w:rPr>
        <w:t>Герфиндаля-Гиршмана</w:t>
      </w:r>
      <w:proofErr w:type="spellEnd"/>
      <w:r w:rsidR="00C95194">
        <w:rPr>
          <w:rFonts w:ascii="Times New Roman" w:hAnsi="Times New Roman" w:cs="Times New Roman"/>
          <w:sz w:val="26"/>
          <w:szCs w:val="26"/>
        </w:rPr>
        <w:t xml:space="preserve"> – 1952,81. </w:t>
      </w:r>
      <w:r w:rsidR="004B7B40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gramStart"/>
      <w:r w:rsidR="004B7B40">
        <w:rPr>
          <w:rFonts w:ascii="Times New Roman" w:hAnsi="Times New Roman" w:cs="Times New Roman"/>
          <w:sz w:val="26"/>
          <w:szCs w:val="26"/>
        </w:rPr>
        <w:t>расчета</w:t>
      </w:r>
      <w:r w:rsidR="00C95194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4B7B40">
        <w:rPr>
          <w:rFonts w:ascii="Times New Roman" w:hAnsi="Times New Roman" w:cs="Times New Roman"/>
          <w:sz w:val="26"/>
          <w:szCs w:val="26"/>
        </w:rPr>
        <w:t xml:space="preserve"> уровня концентрации</w:t>
      </w:r>
      <w:r w:rsidR="00C95194">
        <w:rPr>
          <w:rFonts w:ascii="Times New Roman" w:hAnsi="Times New Roman" w:cs="Times New Roman"/>
          <w:sz w:val="26"/>
          <w:szCs w:val="26"/>
        </w:rPr>
        <w:t xml:space="preserve"> </w:t>
      </w:r>
      <w:r w:rsidR="004B7B40">
        <w:rPr>
          <w:rFonts w:ascii="Times New Roman" w:hAnsi="Times New Roman" w:cs="Times New Roman"/>
          <w:sz w:val="26"/>
          <w:szCs w:val="26"/>
        </w:rPr>
        <w:t>товарного рынка</w:t>
      </w:r>
      <w:proofErr w:type="gramEnd"/>
      <w:r w:rsidR="004B7B40">
        <w:rPr>
          <w:rFonts w:ascii="Times New Roman" w:hAnsi="Times New Roman" w:cs="Times New Roman"/>
          <w:sz w:val="26"/>
          <w:szCs w:val="26"/>
        </w:rPr>
        <w:t xml:space="preserve"> </w:t>
      </w:r>
      <w:r w:rsidR="00C95194">
        <w:rPr>
          <w:rFonts w:ascii="Times New Roman" w:hAnsi="Times New Roman" w:cs="Times New Roman"/>
          <w:sz w:val="26"/>
          <w:szCs w:val="26"/>
        </w:rPr>
        <w:t>указывают на умеренную концентрацию изучаемого рынка</w:t>
      </w:r>
      <w:r w:rsidR="003E5F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1CC6" w:rsidRPr="00ED78AC" w:rsidRDefault="00D11CC6" w:rsidP="006E4C16">
      <w:pPr>
        <w:pStyle w:val="ConsPlusNormal"/>
        <w:widowControl/>
        <w:numPr>
          <w:ilvl w:val="1"/>
          <w:numId w:val="6"/>
        </w:numPr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ED78AC">
        <w:rPr>
          <w:rFonts w:ascii="Times New Roman" w:hAnsi="Times New Roman" w:cs="Times New Roman"/>
          <w:b/>
          <w:sz w:val="25"/>
          <w:szCs w:val="25"/>
        </w:rPr>
        <w:t>Определение барьеров входа на рынок услуг по управлению МКД.</w:t>
      </w:r>
    </w:p>
    <w:p w:rsidR="00D11CC6" w:rsidRDefault="00D11CC6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1CC6">
        <w:rPr>
          <w:rFonts w:ascii="Times New Roman" w:hAnsi="Times New Roman" w:cs="Times New Roman"/>
          <w:sz w:val="26"/>
          <w:szCs w:val="26"/>
        </w:rPr>
        <w:t xml:space="preserve">Под барьерами входа на товарный рынок понимают обстоятельства или действия, препятствующие или затрудняющие и ограничивающие хозяйствующим субъектам начало деятельности на товарном рынке. </w:t>
      </w:r>
    </w:p>
    <w:p w:rsidR="00D11CC6" w:rsidRDefault="00DB45F6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изучения рынка услуг по управлению МКД выявлены следующие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барьеры:</w:t>
      </w:r>
    </w:p>
    <w:p w:rsidR="00B064CF" w:rsidRDefault="00B064CF" w:rsidP="006E4C16">
      <w:pPr>
        <w:pStyle w:val="ConsPlusNormal"/>
        <w:tabs>
          <w:tab w:val="left" w:pos="4860"/>
        </w:tabs>
        <w:spacing w:line="276" w:lineRule="auto"/>
        <w:ind w:left="70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неудовлетворительная информированность населения о требованиях жилищного законодательства;</w:t>
      </w:r>
    </w:p>
    <w:p w:rsidR="00B064CF" w:rsidRPr="00D11CC6" w:rsidRDefault="00B064CF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1CC6">
        <w:rPr>
          <w:rFonts w:ascii="Times New Roman" w:hAnsi="Times New Roman" w:cs="Times New Roman"/>
          <w:sz w:val="26"/>
          <w:szCs w:val="26"/>
        </w:rPr>
        <w:t>низкая платежеспособность населения;</w:t>
      </w:r>
    </w:p>
    <w:p w:rsidR="00B064CF" w:rsidRDefault="00B064CF" w:rsidP="006E4C16">
      <w:pPr>
        <w:pStyle w:val="ConsPlusNormal"/>
        <w:tabs>
          <w:tab w:val="left" w:pos="4860"/>
        </w:tabs>
        <w:spacing w:line="276" w:lineRule="auto"/>
        <w:ind w:left="70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1CC6">
        <w:rPr>
          <w:rFonts w:ascii="Times New Roman" w:hAnsi="Times New Roman" w:cs="Times New Roman"/>
          <w:sz w:val="26"/>
          <w:szCs w:val="26"/>
        </w:rPr>
        <w:t>- несвоевременная оплата за коммунальные услуги собственниками помещений;</w:t>
      </w:r>
    </w:p>
    <w:p w:rsidR="00B064CF" w:rsidRDefault="00B064CF" w:rsidP="006E4C16">
      <w:pPr>
        <w:pStyle w:val="ConsPlusNormal"/>
        <w:tabs>
          <w:tab w:val="left" w:pos="4860"/>
        </w:tabs>
        <w:spacing w:line="276" w:lineRule="auto"/>
        <w:ind w:left="703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1CC6">
        <w:rPr>
          <w:rFonts w:ascii="Times New Roman" w:hAnsi="Times New Roman" w:cs="Times New Roman"/>
          <w:sz w:val="26"/>
          <w:szCs w:val="26"/>
        </w:rPr>
        <w:t>- изношенность жил</w:t>
      </w:r>
      <w:r w:rsidR="00B615C2">
        <w:rPr>
          <w:rFonts w:ascii="Times New Roman" w:hAnsi="Times New Roman" w:cs="Times New Roman"/>
          <w:sz w:val="26"/>
          <w:szCs w:val="26"/>
        </w:rPr>
        <w:t>ищного</w:t>
      </w:r>
      <w:r w:rsidRPr="00D11CC6">
        <w:rPr>
          <w:rFonts w:ascii="Times New Roman" w:hAnsi="Times New Roman" w:cs="Times New Roman"/>
          <w:sz w:val="26"/>
          <w:szCs w:val="26"/>
        </w:rPr>
        <w:t xml:space="preserve"> фонда</w:t>
      </w:r>
      <w:r w:rsidR="00B615C2">
        <w:rPr>
          <w:rFonts w:ascii="Times New Roman" w:hAnsi="Times New Roman" w:cs="Times New Roman"/>
          <w:sz w:val="26"/>
          <w:szCs w:val="26"/>
        </w:rPr>
        <w:t xml:space="preserve"> и инженерных сетей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64CF" w:rsidRDefault="00B064CF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условия лицензирования </w:t>
      </w:r>
      <w:r w:rsidRPr="00311604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1604">
        <w:rPr>
          <w:rFonts w:ascii="Times New Roman" w:hAnsi="Times New Roman" w:cs="Times New Roman"/>
          <w:sz w:val="26"/>
          <w:szCs w:val="26"/>
        </w:rPr>
        <w:t xml:space="preserve"> по управлению МКД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1CC6" w:rsidRDefault="00D11CC6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2652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B615C2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конкурсных процедур </w:t>
      </w:r>
      <w:r w:rsidR="00B615C2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="00B064CF">
        <w:rPr>
          <w:rFonts w:ascii="Times New Roman" w:hAnsi="Times New Roman" w:cs="Times New Roman"/>
          <w:sz w:val="26"/>
          <w:szCs w:val="26"/>
        </w:rPr>
        <w:t>управляющ</w:t>
      </w:r>
      <w:r w:rsidR="00B615C2">
        <w:rPr>
          <w:rFonts w:ascii="Times New Roman" w:hAnsi="Times New Roman" w:cs="Times New Roman"/>
          <w:sz w:val="26"/>
          <w:szCs w:val="26"/>
        </w:rPr>
        <w:t>их</w:t>
      </w:r>
      <w:r w:rsidR="00B064CF">
        <w:rPr>
          <w:rFonts w:ascii="Times New Roman" w:hAnsi="Times New Roman" w:cs="Times New Roman"/>
          <w:sz w:val="26"/>
          <w:szCs w:val="26"/>
        </w:rPr>
        <w:t xml:space="preserve"> </w:t>
      </w:r>
      <w:r w:rsidR="00B615C2">
        <w:rPr>
          <w:rFonts w:ascii="Times New Roman" w:hAnsi="Times New Roman" w:cs="Times New Roman"/>
          <w:sz w:val="26"/>
          <w:szCs w:val="26"/>
        </w:rPr>
        <w:t>организаций для управления МКД;</w:t>
      </w:r>
    </w:p>
    <w:p w:rsidR="00B615C2" w:rsidRDefault="00B615C2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трудности выстраивания договорных отношений между управляющими организациями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372616">
        <w:rPr>
          <w:rFonts w:ascii="Times New Roman" w:hAnsi="Times New Roman" w:cs="Times New Roman"/>
          <w:sz w:val="26"/>
          <w:szCs w:val="26"/>
        </w:rPr>
        <w:t>есурсоснабжающими</w:t>
      </w:r>
      <w:proofErr w:type="spellEnd"/>
      <w:r w:rsidR="00372616">
        <w:rPr>
          <w:rFonts w:ascii="Times New Roman" w:hAnsi="Times New Roman" w:cs="Times New Roman"/>
          <w:sz w:val="26"/>
          <w:szCs w:val="26"/>
        </w:rPr>
        <w:t xml:space="preserve"> организациями;</w:t>
      </w:r>
    </w:p>
    <w:p w:rsidR="00372616" w:rsidRDefault="00372616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судебной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4B7B40"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4B7B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плательщиком за электроэнергию, потребленную на общедомовые нужды, является управляющая компания как исполнитель коммунальной услуги.</w:t>
      </w:r>
    </w:p>
    <w:p w:rsidR="0044624E" w:rsidRPr="00ED78AC" w:rsidRDefault="00C96E9B" w:rsidP="006E4C16">
      <w:pPr>
        <w:pStyle w:val="ConsPlusNormal"/>
        <w:tabs>
          <w:tab w:val="left" w:pos="4860"/>
        </w:tabs>
        <w:spacing w:line="276" w:lineRule="auto"/>
        <w:ind w:left="703" w:firstLine="0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</w:t>
      </w:r>
      <w:r w:rsidR="0044624E" w:rsidRPr="00ED78AC">
        <w:rPr>
          <w:rFonts w:ascii="Times New Roman" w:hAnsi="Times New Roman" w:cs="Times New Roman"/>
          <w:b/>
          <w:sz w:val="25"/>
          <w:szCs w:val="25"/>
        </w:rPr>
        <w:t>4. Вывод о достижении (не достижении) целевого показателя целевого значения.</w:t>
      </w:r>
    </w:p>
    <w:p w:rsidR="00BA053F" w:rsidRDefault="009F4676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Исходя из расчетных данных таблицы </w:t>
      </w:r>
      <w:r w:rsidR="00652C4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можно сделать вывод о том, что целевой показатель доли негосударственных (немуниципальных) управляющих организаций от общего числа управляющих организаций, которые осуществляют деятельность по управлению МКД на территории г. Благовещенска Амурской области</w:t>
      </w:r>
      <w:r w:rsidR="00652C44">
        <w:rPr>
          <w:rFonts w:ascii="Times New Roman" w:hAnsi="Times New Roman" w:cs="Times New Roman"/>
          <w:sz w:val="26"/>
          <w:szCs w:val="26"/>
        </w:rPr>
        <w:t xml:space="preserve">, на 01.01.2016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652C4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C44">
        <w:rPr>
          <w:rFonts w:ascii="Times New Roman" w:hAnsi="Times New Roman" w:cs="Times New Roman"/>
          <w:sz w:val="26"/>
          <w:szCs w:val="26"/>
        </w:rPr>
        <w:t xml:space="preserve">достиг </w:t>
      </w:r>
      <w:r>
        <w:rPr>
          <w:rFonts w:ascii="Times New Roman" w:hAnsi="Times New Roman" w:cs="Times New Roman"/>
          <w:sz w:val="26"/>
          <w:szCs w:val="26"/>
        </w:rPr>
        <w:t>целевого значения, установленного к 2016 году</w:t>
      </w:r>
      <w:r w:rsidR="00652C4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90%</w:t>
      </w:r>
      <w:r w:rsidR="00652C4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871">
        <w:rPr>
          <w:rFonts w:ascii="Times New Roman" w:hAnsi="Times New Roman" w:cs="Times New Roman"/>
          <w:sz w:val="26"/>
          <w:szCs w:val="26"/>
        </w:rPr>
        <w:t>и составил 100%.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652">
        <w:rPr>
          <w:rFonts w:ascii="Times New Roman" w:hAnsi="Times New Roman" w:cs="Times New Roman"/>
          <w:sz w:val="26"/>
          <w:szCs w:val="26"/>
        </w:rPr>
        <w:t xml:space="preserve">Рынок услуг по управлению МКД на территории </w:t>
      </w:r>
      <w:r w:rsidR="00F95E9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B2652">
        <w:rPr>
          <w:rFonts w:ascii="Times New Roman" w:hAnsi="Times New Roman" w:cs="Times New Roman"/>
          <w:sz w:val="26"/>
          <w:szCs w:val="26"/>
        </w:rPr>
        <w:t>г. Благовещенска Амурской</w:t>
      </w:r>
      <w:proofErr w:type="gramEnd"/>
      <w:r w:rsidR="008B2652">
        <w:rPr>
          <w:rFonts w:ascii="Times New Roman" w:hAnsi="Times New Roman" w:cs="Times New Roman"/>
          <w:sz w:val="26"/>
          <w:szCs w:val="26"/>
        </w:rPr>
        <w:t xml:space="preserve"> области динамично р</w:t>
      </w:r>
      <w:r w:rsidR="00E90500">
        <w:rPr>
          <w:rFonts w:ascii="Times New Roman" w:hAnsi="Times New Roman" w:cs="Times New Roman"/>
          <w:sz w:val="26"/>
          <w:szCs w:val="26"/>
        </w:rPr>
        <w:t>азвивается, о чем свидетельствую</w:t>
      </w:r>
      <w:r w:rsidR="008B2652">
        <w:rPr>
          <w:rFonts w:ascii="Times New Roman" w:hAnsi="Times New Roman" w:cs="Times New Roman"/>
          <w:sz w:val="26"/>
          <w:szCs w:val="26"/>
        </w:rPr>
        <w:t xml:space="preserve">т показатели </w:t>
      </w:r>
      <w:r w:rsidR="00F95E9B">
        <w:rPr>
          <w:rFonts w:ascii="Times New Roman" w:hAnsi="Times New Roman" w:cs="Times New Roman"/>
          <w:sz w:val="26"/>
          <w:szCs w:val="26"/>
        </w:rPr>
        <w:t xml:space="preserve">умеренного </w:t>
      </w:r>
      <w:r w:rsidR="008B2652">
        <w:rPr>
          <w:rFonts w:ascii="Times New Roman" w:hAnsi="Times New Roman" w:cs="Times New Roman"/>
          <w:sz w:val="26"/>
          <w:szCs w:val="26"/>
        </w:rPr>
        <w:t xml:space="preserve">уровня концентрации товарного рынка. </w:t>
      </w:r>
    </w:p>
    <w:p w:rsidR="001843BF" w:rsidRDefault="001843BF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2616" w:rsidRDefault="00EB4871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44F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="0088344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88344F" w:rsidRPr="0088344F">
        <w:rPr>
          <w:rFonts w:ascii="Times New Roman" w:hAnsi="Times New Roman" w:cs="Times New Roman"/>
          <w:b/>
          <w:i/>
          <w:sz w:val="26"/>
          <w:szCs w:val="26"/>
        </w:rPr>
        <w:t xml:space="preserve">В ходе исследования проанализированы данные </w:t>
      </w:r>
      <w:r w:rsidR="0088344F">
        <w:rPr>
          <w:rFonts w:ascii="Times New Roman" w:hAnsi="Times New Roman" w:cs="Times New Roman"/>
          <w:b/>
          <w:i/>
          <w:sz w:val="26"/>
          <w:szCs w:val="26"/>
        </w:rPr>
        <w:t xml:space="preserve">по объектам энергетики, тепло-водоснабжения, водоотведения, утилизации твердых бытовых </w:t>
      </w:r>
      <w:r w:rsidR="00A025F3">
        <w:rPr>
          <w:rFonts w:ascii="Times New Roman" w:hAnsi="Times New Roman" w:cs="Times New Roman"/>
          <w:b/>
          <w:i/>
          <w:sz w:val="26"/>
          <w:szCs w:val="26"/>
        </w:rPr>
        <w:t xml:space="preserve">отходов </w:t>
      </w:r>
      <w:r w:rsidR="0088344F">
        <w:rPr>
          <w:rFonts w:ascii="Times New Roman" w:hAnsi="Times New Roman" w:cs="Times New Roman"/>
          <w:b/>
          <w:i/>
          <w:sz w:val="26"/>
          <w:szCs w:val="26"/>
        </w:rPr>
        <w:t>(далее – Объекты), расположенные</w:t>
      </w:r>
      <w:r w:rsidR="0088344F" w:rsidRPr="0088344F"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</w:t>
      </w:r>
      <w:r w:rsidR="009E09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8344F" w:rsidRPr="0088344F">
        <w:rPr>
          <w:rFonts w:ascii="Times New Roman" w:hAnsi="Times New Roman" w:cs="Times New Roman"/>
          <w:b/>
          <w:i/>
          <w:sz w:val="26"/>
          <w:szCs w:val="26"/>
        </w:rPr>
        <w:t>г. Благовещенка Амурской области.</w:t>
      </w:r>
    </w:p>
    <w:p w:rsidR="00A025F3" w:rsidRDefault="00A025F3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Одним из целевых показателей, в соответствии </w:t>
      </w:r>
      <w:r w:rsidR="00E90500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E90500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развития конкуренции в субъектах Российской Федерации для рынка </w:t>
      </w:r>
      <w:r w:rsidRPr="00757376">
        <w:rPr>
          <w:rFonts w:ascii="Times New Roman" w:hAnsi="Times New Roman" w:cs="Times New Roman"/>
          <w:sz w:val="26"/>
          <w:szCs w:val="26"/>
        </w:rPr>
        <w:t>услуг жилищно-коммунального хозяйства</w:t>
      </w:r>
      <w:r w:rsidR="00910B83">
        <w:rPr>
          <w:rFonts w:ascii="Times New Roman" w:hAnsi="Times New Roman" w:cs="Times New Roman"/>
          <w:sz w:val="26"/>
          <w:szCs w:val="26"/>
        </w:rPr>
        <w:t xml:space="preserve"> установлен </w:t>
      </w:r>
      <w:r>
        <w:rPr>
          <w:rFonts w:ascii="Times New Roman" w:hAnsi="Times New Roman" w:cs="Times New Roman"/>
          <w:sz w:val="26"/>
          <w:szCs w:val="26"/>
        </w:rPr>
        <w:t>показатель</w:t>
      </w:r>
      <w:r w:rsidR="00910B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</w:t>
      </w:r>
      <w:r w:rsidR="00910B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5F3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025F3">
        <w:rPr>
          <w:rFonts w:ascii="Times New Roman" w:hAnsi="Times New Roman" w:cs="Times New Roman"/>
          <w:sz w:val="26"/>
          <w:szCs w:val="26"/>
        </w:rPr>
        <w:t xml:space="preserve"> энергетики, тепло-водоснабжения, водоотведения, утилизации твердых бытовых </w:t>
      </w:r>
      <w:r>
        <w:rPr>
          <w:rFonts w:ascii="Times New Roman" w:hAnsi="Times New Roman" w:cs="Times New Roman"/>
          <w:sz w:val="26"/>
          <w:szCs w:val="26"/>
        </w:rPr>
        <w:t>отходов, переданных органами исполнительной власти субъекта Российской Федерации и (или) органами местного самоуправления негосударственным (немуниципальным) организациям в концессию или долгосрочную аренду (более 1 года)</w:t>
      </w:r>
      <w:r w:rsidR="00910B83">
        <w:rPr>
          <w:rFonts w:ascii="Times New Roman" w:hAnsi="Times New Roman" w:cs="Times New Roman"/>
          <w:sz w:val="26"/>
          <w:szCs w:val="26"/>
        </w:rPr>
        <w:t>, который</w:t>
      </w:r>
      <w:r>
        <w:rPr>
          <w:rFonts w:ascii="Times New Roman" w:hAnsi="Times New Roman" w:cs="Times New Roman"/>
          <w:sz w:val="26"/>
          <w:szCs w:val="26"/>
        </w:rPr>
        <w:t xml:space="preserve"> к 2016 году </w:t>
      </w:r>
      <w:r w:rsidR="00910B83">
        <w:rPr>
          <w:rFonts w:ascii="Times New Roman" w:hAnsi="Times New Roman" w:cs="Times New Roman"/>
          <w:sz w:val="26"/>
          <w:szCs w:val="26"/>
        </w:rPr>
        <w:t>должен достичь уровня</w:t>
      </w:r>
      <w:proofErr w:type="gramEnd"/>
      <w:r w:rsidR="00982E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менее 50 %.</w:t>
      </w:r>
    </w:p>
    <w:p w:rsidR="007550A6" w:rsidRPr="00091E5F" w:rsidRDefault="007550A6" w:rsidP="004B7B40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4B7B40" w:rsidRPr="00FF15E0" w:rsidRDefault="004B7B40" w:rsidP="004B7B40">
      <w:pPr>
        <w:tabs>
          <w:tab w:val="left" w:pos="2120"/>
          <w:tab w:val="left" w:pos="4064"/>
          <w:tab w:val="left" w:pos="5017"/>
          <w:tab w:val="left" w:pos="7028"/>
          <w:tab w:val="left" w:pos="7982"/>
        </w:tabs>
        <w:spacing w:after="0"/>
        <w:ind w:left="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4B7B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4B7B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4B7B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4B7B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ab/>
      </w:r>
      <w:r w:rsidRPr="00F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A17641" w:rsidRPr="00FF15E0" w:rsidRDefault="00A17641" w:rsidP="004B7B40">
      <w:pPr>
        <w:tabs>
          <w:tab w:val="left" w:pos="2120"/>
          <w:tab w:val="left" w:pos="4064"/>
          <w:tab w:val="left" w:pos="5017"/>
          <w:tab w:val="left" w:pos="7028"/>
          <w:tab w:val="left" w:pos="7982"/>
        </w:tabs>
        <w:spacing w:after="0"/>
        <w:ind w:left="93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B7B40" w:rsidRPr="00FF15E0" w:rsidRDefault="004B7B40" w:rsidP="006E4C16">
      <w:pPr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объектах энергетики, тепла-водоснабжения, водоотведения, утилизации твердых бытовых отходов (</w:t>
      </w:r>
      <w:r w:rsidR="009019DB" w:rsidRPr="00F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F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Объекты)</w:t>
      </w:r>
      <w:r w:rsidR="009019DB" w:rsidRPr="00F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373" w:rsidRPr="00F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состоянию на 01.01.2016)</w:t>
      </w:r>
    </w:p>
    <w:p w:rsidR="00731373" w:rsidRPr="00FF15E0" w:rsidRDefault="00731373" w:rsidP="00731373">
      <w:pPr>
        <w:spacing w:after="0"/>
        <w:ind w:left="93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34"/>
        <w:gridCol w:w="2551"/>
        <w:gridCol w:w="1276"/>
        <w:gridCol w:w="2551"/>
      </w:tblGrid>
      <w:tr w:rsidR="00731373" w:rsidRPr="00FF15E0" w:rsidTr="00FF15E0">
        <w:trPr>
          <w:trHeight w:val="1463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Общее количество Объектов, находящихся в </w:t>
            </w:r>
            <w:proofErr w:type="gramStart"/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</w:t>
            </w:r>
            <w:proofErr w:type="gramEnd"/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собственности*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Объектов, переданных органами власти/органами местного самоуправления негосударственным (немуниципальным) организациям в концессию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Объектов, переданных органами власти/органами местного самоуправления негосударственным (немуниципальным)  организациям в долгосрочную аренду (более 1 года)</w:t>
            </w:r>
          </w:p>
        </w:tc>
      </w:tr>
      <w:tr w:rsidR="00731373" w:rsidRPr="00FF15E0" w:rsidTr="00FF15E0">
        <w:trPr>
          <w:trHeight w:val="522"/>
        </w:trPr>
        <w:tc>
          <w:tcPr>
            <w:tcW w:w="2142" w:type="dxa"/>
            <w:vMerge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от общего количества Объектов, находящихся в </w:t>
            </w:r>
            <w:proofErr w:type="gramStart"/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</w:t>
            </w:r>
            <w:proofErr w:type="gramEnd"/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от общего количества Объектов, находящихся в </w:t>
            </w:r>
            <w:proofErr w:type="gramStart"/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</w:t>
            </w:r>
            <w:proofErr w:type="gramEnd"/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собственности</w:t>
            </w:r>
          </w:p>
        </w:tc>
      </w:tr>
      <w:tr w:rsidR="00731373" w:rsidRPr="00FF15E0" w:rsidTr="00FF15E0">
        <w:trPr>
          <w:trHeight w:val="70"/>
        </w:trPr>
        <w:tc>
          <w:tcPr>
            <w:tcW w:w="2142" w:type="dxa"/>
            <w:shd w:val="clear" w:color="auto" w:fill="auto"/>
            <w:vAlign w:val="center"/>
            <w:hideMark/>
          </w:tcPr>
          <w:p w:rsidR="00731373" w:rsidRPr="00FF15E0" w:rsidRDefault="00271C7F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&lt;…&gt; </w:t>
            </w:r>
            <w:r w:rsidR="00731373"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 них право муниципального образования города Благовещенска зарегистрировано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&lt;…&gt; </w:t>
            </w:r>
            <w:r w:rsidR="00731373"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1373" w:rsidRPr="00FF15E0" w:rsidRDefault="00271C7F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&lt;…&gt;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31373" w:rsidRPr="00FF15E0" w:rsidRDefault="00731373" w:rsidP="006E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91,04</w:t>
            </w:r>
          </w:p>
        </w:tc>
      </w:tr>
    </w:tbl>
    <w:p w:rsidR="004C27CD" w:rsidRPr="00FF15E0" w:rsidRDefault="00731373" w:rsidP="00731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FF15E0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* - в том числе, если право государственной или муниципальной собственности не зарегистрировано в установленном порядке</w:t>
      </w:r>
      <w:r w:rsidR="004C27CD" w:rsidRPr="00FF15E0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.</w:t>
      </w:r>
    </w:p>
    <w:p w:rsidR="00A17641" w:rsidRDefault="00731373" w:rsidP="00271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843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271C7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8344F" w:rsidRDefault="00A025F3" w:rsidP="00E90500">
      <w:pPr>
        <w:pStyle w:val="ConsPlusNormal"/>
        <w:numPr>
          <w:ilvl w:val="1"/>
          <w:numId w:val="7"/>
        </w:numPr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F3">
        <w:rPr>
          <w:rFonts w:ascii="Times New Roman" w:hAnsi="Times New Roman" w:cs="Times New Roman"/>
          <w:b/>
          <w:sz w:val="26"/>
          <w:szCs w:val="26"/>
        </w:rPr>
        <w:t>Вывод о достижении (не достижении) целевого показателя целевого значения.</w:t>
      </w:r>
    </w:p>
    <w:p w:rsidR="00D26525" w:rsidRDefault="001843BF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731373">
        <w:rPr>
          <w:rFonts w:ascii="Times New Roman" w:hAnsi="Times New Roman" w:cs="Times New Roman"/>
          <w:sz w:val="26"/>
          <w:szCs w:val="26"/>
        </w:rPr>
        <w:t>асчетные данные таблицы 3</w:t>
      </w:r>
      <w:r w:rsidR="00D265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свидетельствуют</w:t>
      </w:r>
      <w:r w:rsidR="00D26525">
        <w:rPr>
          <w:rFonts w:ascii="Times New Roman" w:hAnsi="Times New Roman" w:cs="Times New Roman"/>
          <w:sz w:val="26"/>
          <w:szCs w:val="26"/>
        </w:rPr>
        <w:t xml:space="preserve"> о том что, целевой показатель доли </w:t>
      </w:r>
      <w:r w:rsidR="00D26525" w:rsidRPr="00A025F3">
        <w:rPr>
          <w:rFonts w:ascii="Times New Roman" w:hAnsi="Times New Roman" w:cs="Times New Roman"/>
          <w:sz w:val="26"/>
          <w:szCs w:val="26"/>
        </w:rPr>
        <w:t>объект</w:t>
      </w:r>
      <w:r w:rsidR="00D26525">
        <w:rPr>
          <w:rFonts w:ascii="Times New Roman" w:hAnsi="Times New Roman" w:cs="Times New Roman"/>
          <w:sz w:val="26"/>
          <w:szCs w:val="26"/>
        </w:rPr>
        <w:t>ов</w:t>
      </w:r>
      <w:r w:rsidR="00D26525" w:rsidRPr="00A025F3">
        <w:rPr>
          <w:rFonts w:ascii="Times New Roman" w:hAnsi="Times New Roman" w:cs="Times New Roman"/>
          <w:sz w:val="26"/>
          <w:szCs w:val="26"/>
        </w:rPr>
        <w:t xml:space="preserve"> энергетики, тепло-водоснабжения, водоотведения, утилизации твердых бытовых </w:t>
      </w:r>
      <w:r w:rsidR="00D26525">
        <w:rPr>
          <w:rFonts w:ascii="Times New Roman" w:hAnsi="Times New Roman" w:cs="Times New Roman"/>
          <w:sz w:val="26"/>
          <w:szCs w:val="26"/>
        </w:rPr>
        <w:t>отходов, переданных органами исполнительной власти субъекта Российской Федерации и (или) органами местного самоуправления негосударственным (немуниципальным) организациям в концессию или долгосрочную аренду (более 1 года) достиг целевого значения, установленного к 2016 году – не менее 50%, и составил</w:t>
      </w:r>
      <w:r w:rsidR="007B4C7D">
        <w:rPr>
          <w:rFonts w:ascii="Times New Roman" w:hAnsi="Times New Roman" w:cs="Times New Roman"/>
          <w:sz w:val="26"/>
          <w:szCs w:val="26"/>
        </w:rPr>
        <w:t xml:space="preserve"> на 01.</w:t>
      </w:r>
      <w:r w:rsidR="00BC4C07">
        <w:rPr>
          <w:rFonts w:ascii="Times New Roman" w:hAnsi="Times New Roman" w:cs="Times New Roman"/>
          <w:sz w:val="26"/>
          <w:szCs w:val="26"/>
        </w:rPr>
        <w:t>01.2016</w:t>
      </w:r>
      <w:r w:rsidR="007B4C7D">
        <w:rPr>
          <w:rFonts w:ascii="Times New Roman" w:hAnsi="Times New Roman" w:cs="Times New Roman"/>
          <w:sz w:val="26"/>
          <w:szCs w:val="26"/>
        </w:rPr>
        <w:t xml:space="preserve"> </w:t>
      </w:r>
      <w:r w:rsidR="007550A6">
        <w:rPr>
          <w:rFonts w:ascii="Times New Roman" w:hAnsi="Times New Roman" w:cs="Times New Roman"/>
          <w:sz w:val="26"/>
          <w:szCs w:val="26"/>
        </w:rPr>
        <w:t>–</w:t>
      </w:r>
      <w:r w:rsidR="00D26525">
        <w:rPr>
          <w:rFonts w:ascii="Times New Roman" w:hAnsi="Times New Roman" w:cs="Times New Roman"/>
          <w:sz w:val="26"/>
          <w:szCs w:val="26"/>
        </w:rPr>
        <w:t xml:space="preserve"> </w:t>
      </w:r>
      <w:r w:rsidR="007550A6" w:rsidRPr="007550A6">
        <w:rPr>
          <w:rFonts w:ascii="Times New Roman" w:hAnsi="Times New Roman" w:cs="Times New Roman"/>
          <w:sz w:val="26"/>
          <w:szCs w:val="26"/>
        </w:rPr>
        <w:t>91,</w:t>
      </w:r>
      <w:r w:rsidR="00BC4C07">
        <w:rPr>
          <w:rFonts w:ascii="Times New Roman" w:hAnsi="Times New Roman" w:cs="Times New Roman"/>
          <w:sz w:val="26"/>
          <w:szCs w:val="26"/>
        </w:rPr>
        <w:t>0</w:t>
      </w:r>
      <w:r w:rsidR="007550A6" w:rsidRPr="007550A6">
        <w:rPr>
          <w:rFonts w:ascii="Times New Roman" w:hAnsi="Times New Roman" w:cs="Times New Roman"/>
          <w:sz w:val="26"/>
          <w:szCs w:val="26"/>
        </w:rPr>
        <w:t>4</w:t>
      </w:r>
      <w:r w:rsidR="00D26525" w:rsidRPr="007550A6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5F7F60" w:rsidRPr="009019DB" w:rsidRDefault="005F7F60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5E67" w:rsidRDefault="000668B8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Амурским УФАС России,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</w:t>
      </w:r>
      <w:r w:rsidR="00271C7F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271C7F" w:rsidRPr="00E90500">
        <w:rPr>
          <w:rFonts w:ascii="Times New Roman" w:hAnsi="Times New Roman" w:cs="Times New Roman"/>
          <w:sz w:val="26"/>
          <w:szCs w:val="26"/>
        </w:rPr>
        <w:t>ФАС России от 18.12.2014</w:t>
      </w:r>
      <w:r w:rsidR="00271C7F">
        <w:rPr>
          <w:rFonts w:ascii="Times New Roman" w:hAnsi="Times New Roman" w:cs="Times New Roman"/>
          <w:sz w:val="26"/>
          <w:szCs w:val="26"/>
        </w:rPr>
        <w:t xml:space="preserve"> </w:t>
      </w:r>
      <w:r w:rsidR="00271C7F" w:rsidRPr="00E90500">
        <w:rPr>
          <w:rFonts w:ascii="Times New Roman" w:hAnsi="Times New Roman" w:cs="Times New Roman"/>
          <w:sz w:val="26"/>
          <w:szCs w:val="26"/>
        </w:rPr>
        <w:t>№ 790/14 «О плане работы ФАС России по анализу состояния конкуренции на товарных рынках на 2015-2016 годы»</w:t>
      </w:r>
      <w:r>
        <w:rPr>
          <w:rFonts w:ascii="Times New Roman" w:hAnsi="Times New Roman" w:cs="Times New Roman"/>
          <w:sz w:val="26"/>
          <w:szCs w:val="26"/>
        </w:rPr>
        <w:t xml:space="preserve"> проанализирован розничный рынок электрической энергии (мощности) в Амурской области за 2015 год. </w:t>
      </w:r>
      <w:r w:rsidR="006B637B">
        <w:rPr>
          <w:rFonts w:ascii="Times New Roman" w:hAnsi="Times New Roman" w:cs="Times New Roman"/>
          <w:sz w:val="26"/>
          <w:szCs w:val="26"/>
        </w:rPr>
        <w:t xml:space="preserve">Результаты исследования данного рынка как за 2015 год, так и </w:t>
      </w:r>
      <w:r w:rsidR="00A17641">
        <w:rPr>
          <w:rFonts w:ascii="Times New Roman" w:hAnsi="Times New Roman" w:cs="Times New Roman"/>
          <w:sz w:val="26"/>
          <w:szCs w:val="26"/>
        </w:rPr>
        <w:t xml:space="preserve">за </w:t>
      </w:r>
      <w:r w:rsidR="006B637B">
        <w:rPr>
          <w:rFonts w:ascii="Times New Roman" w:hAnsi="Times New Roman" w:cs="Times New Roman"/>
          <w:sz w:val="26"/>
          <w:szCs w:val="26"/>
        </w:rPr>
        <w:t xml:space="preserve">ранее исследованные периоды времени (2013 и 2014 годы), </w:t>
      </w:r>
      <w:r>
        <w:rPr>
          <w:rFonts w:ascii="Times New Roman" w:hAnsi="Times New Roman" w:cs="Times New Roman"/>
          <w:sz w:val="26"/>
          <w:szCs w:val="26"/>
        </w:rPr>
        <w:t>позволяют судит</w:t>
      </w:r>
      <w:r w:rsidR="006B637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о неизменно</w:t>
      </w:r>
      <w:r w:rsidR="006B637B">
        <w:rPr>
          <w:rFonts w:ascii="Times New Roman" w:hAnsi="Times New Roman" w:cs="Times New Roman"/>
          <w:sz w:val="26"/>
          <w:szCs w:val="26"/>
        </w:rPr>
        <w:t>м,</w:t>
      </w:r>
      <w:r>
        <w:rPr>
          <w:rFonts w:ascii="Times New Roman" w:hAnsi="Times New Roman" w:cs="Times New Roman"/>
          <w:sz w:val="26"/>
          <w:szCs w:val="26"/>
        </w:rPr>
        <w:t xml:space="preserve"> стабильно высоком уровне</w:t>
      </w:r>
      <w:r w:rsidR="006B637B">
        <w:rPr>
          <w:rFonts w:ascii="Times New Roman" w:hAnsi="Times New Roman" w:cs="Times New Roman"/>
          <w:sz w:val="26"/>
          <w:szCs w:val="26"/>
        </w:rPr>
        <w:t xml:space="preserve"> концентрации на розничном рынке электрической энергии (мощности) в Амурской области.</w:t>
      </w:r>
    </w:p>
    <w:p w:rsidR="00AA3F01" w:rsidRDefault="006B637B" w:rsidP="006E4C16">
      <w:pPr>
        <w:pStyle w:val="ConsPlusNormal"/>
        <w:tabs>
          <w:tab w:val="left" w:pos="486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высокой степени концентрации на рынках услуг по теплоснабжению                                в 2013-2014 годах также свидетельствуют р</w:t>
      </w:r>
      <w:r w:rsidR="00BB1D42">
        <w:rPr>
          <w:rFonts w:ascii="Times New Roman" w:hAnsi="Times New Roman" w:cs="Times New Roman"/>
          <w:sz w:val="26"/>
          <w:szCs w:val="26"/>
        </w:rPr>
        <w:t>езультаты</w:t>
      </w:r>
      <w:r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BB1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</w:t>
      </w:r>
      <w:r w:rsidR="00C47729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рынк</w:t>
      </w:r>
      <w:r w:rsidR="00C4772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E1AE6">
        <w:rPr>
          <w:rFonts w:ascii="Times New Roman" w:hAnsi="Times New Roman" w:cs="Times New Roman"/>
          <w:sz w:val="26"/>
          <w:szCs w:val="26"/>
        </w:rPr>
        <w:t>так как на локальных рынках теплоснабжения, сложившихся в географических границах города Благовещенска</w:t>
      </w:r>
      <w:r w:rsidRPr="006B6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Амурской области</w:t>
      </w:r>
      <w:r w:rsidR="009E1AE6">
        <w:rPr>
          <w:rFonts w:ascii="Times New Roman" w:hAnsi="Times New Roman" w:cs="Times New Roman"/>
          <w:sz w:val="26"/>
          <w:szCs w:val="26"/>
        </w:rPr>
        <w:t>, действует по одному хозяйствующему субъекту с долей 100%.</w:t>
      </w:r>
      <w:r w:rsidR="00BB1D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253" w:rsidRDefault="007B4C7D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 основании полученных данных, можно говорить о том, что рын</w:t>
      </w:r>
      <w:r w:rsidR="004616F3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услуг жилищно-коммунального хозяйства </w:t>
      </w:r>
      <w:r w:rsidR="004616F3">
        <w:rPr>
          <w:rFonts w:ascii="Times New Roman" w:hAnsi="Times New Roman" w:cs="Times New Roman"/>
          <w:sz w:val="26"/>
          <w:szCs w:val="26"/>
        </w:rPr>
        <w:t>как в</w:t>
      </w:r>
      <w:r w:rsidR="007550A6">
        <w:rPr>
          <w:rFonts w:ascii="Times New Roman" w:hAnsi="Times New Roman" w:cs="Times New Roman"/>
          <w:sz w:val="26"/>
          <w:szCs w:val="26"/>
        </w:rPr>
        <w:t xml:space="preserve"> </w:t>
      </w:r>
      <w:r w:rsidR="00771460">
        <w:rPr>
          <w:rFonts w:ascii="Times New Roman" w:hAnsi="Times New Roman" w:cs="Times New Roman"/>
          <w:sz w:val="26"/>
          <w:szCs w:val="26"/>
        </w:rPr>
        <w:t>г. Благовещенск</w:t>
      </w:r>
      <w:r w:rsidR="004616F3">
        <w:rPr>
          <w:rFonts w:ascii="Times New Roman" w:hAnsi="Times New Roman" w:cs="Times New Roman"/>
          <w:sz w:val="26"/>
          <w:szCs w:val="26"/>
        </w:rPr>
        <w:t xml:space="preserve">е, так и </w:t>
      </w:r>
      <w:r w:rsidR="00A17641">
        <w:rPr>
          <w:rFonts w:ascii="Times New Roman" w:hAnsi="Times New Roman" w:cs="Times New Roman"/>
          <w:sz w:val="26"/>
          <w:szCs w:val="26"/>
        </w:rPr>
        <w:t>по</w:t>
      </w:r>
      <w:r w:rsidR="00771460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A17641">
        <w:rPr>
          <w:rFonts w:ascii="Times New Roman" w:hAnsi="Times New Roman" w:cs="Times New Roman"/>
          <w:sz w:val="26"/>
          <w:szCs w:val="26"/>
        </w:rPr>
        <w:t xml:space="preserve">в целом, </w:t>
      </w:r>
      <w:r w:rsidR="007550A6">
        <w:rPr>
          <w:rFonts w:ascii="Times New Roman" w:hAnsi="Times New Roman" w:cs="Times New Roman"/>
          <w:sz w:val="26"/>
          <w:szCs w:val="26"/>
        </w:rPr>
        <w:t>име</w:t>
      </w:r>
      <w:r w:rsidR="004616F3">
        <w:rPr>
          <w:rFonts w:ascii="Times New Roman" w:hAnsi="Times New Roman" w:cs="Times New Roman"/>
          <w:sz w:val="26"/>
          <w:szCs w:val="26"/>
        </w:rPr>
        <w:t>ют</w:t>
      </w:r>
      <w:r w:rsidR="007550A6">
        <w:rPr>
          <w:rFonts w:ascii="Times New Roman" w:hAnsi="Times New Roman" w:cs="Times New Roman"/>
          <w:sz w:val="26"/>
          <w:szCs w:val="26"/>
        </w:rPr>
        <w:t xml:space="preserve"> различные уровни </w:t>
      </w:r>
      <w:r w:rsidR="00E90500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7550A6">
        <w:rPr>
          <w:rFonts w:ascii="Times New Roman" w:hAnsi="Times New Roman" w:cs="Times New Roman"/>
          <w:sz w:val="26"/>
          <w:szCs w:val="26"/>
        </w:rPr>
        <w:t xml:space="preserve">конкуренции. Так, рынок услуг по управлению МКД, где 100% управляющих организаций составляют </w:t>
      </w:r>
      <w:r w:rsidR="007550A6">
        <w:rPr>
          <w:rFonts w:ascii="Times New Roman" w:hAnsi="Times New Roman" w:cs="Times New Roman"/>
          <w:sz w:val="26"/>
          <w:szCs w:val="26"/>
        </w:rPr>
        <w:lastRenderedPageBreak/>
        <w:t xml:space="preserve">хозяйствующие субъекты частной формы собственности,  </w:t>
      </w:r>
      <w:r w:rsidR="00A17641">
        <w:rPr>
          <w:rFonts w:ascii="Times New Roman" w:hAnsi="Times New Roman" w:cs="Times New Roman"/>
          <w:sz w:val="26"/>
          <w:szCs w:val="26"/>
        </w:rPr>
        <w:t xml:space="preserve">по состоянию на 01.01.2016 года </w:t>
      </w:r>
      <w:r w:rsidR="004616F3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="00461253">
        <w:rPr>
          <w:rFonts w:ascii="Times New Roman" w:hAnsi="Times New Roman" w:cs="Times New Roman"/>
          <w:sz w:val="26"/>
          <w:szCs w:val="26"/>
        </w:rPr>
        <w:t>высокоцентрированного</w:t>
      </w:r>
      <w:proofErr w:type="spellEnd"/>
      <w:r w:rsidR="007550A6">
        <w:rPr>
          <w:rFonts w:ascii="Times New Roman" w:hAnsi="Times New Roman" w:cs="Times New Roman"/>
          <w:sz w:val="26"/>
          <w:szCs w:val="26"/>
        </w:rPr>
        <w:t xml:space="preserve"> рынка </w:t>
      </w:r>
      <w:r w:rsidR="004616F3">
        <w:rPr>
          <w:rFonts w:ascii="Times New Roman" w:hAnsi="Times New Roman" w:cs="Times New Roman"/>
          <w:sz w:val="26"/>
          <w:szCs w:val="26"/>
        </w:rPr>
        <w:t xml:space="preserve">перешел к </w:t>
      </w:r>
      <w:r w:rsidR="007550A6">
        <w:rPr>
          <w:rFonts w:ascii="Times New Roman" w:hAnsi="Times New Roman" w:cs="Times New Roman"/>
          <w:sz w:val="26"/>
          <w:szCs w:val="26"/>
        </w:rPr>
        <w:t>типу рынка с умеренной концентрацией</w:t>
      </w:r>
      <w:r w:rsidR="00E90500">
        <w:rPr>
          <w:rFonts w:ascii="Times New Roman" w:hAnsi="Times New Roman" w:cs="Times New Roman"/>
          <w:sz w:val="26"/>
          <w:szCs w:val="26"/>
        </w:rPr>
        <w:t xml:space="preserve">. </w:t>
      </w:r>
      <w:r w:rsidR="00461253">
        <w:rPr>
          <w:rFonts w:ascii="Times New Roman" w:hAnsi="Times New Roman" w:cs="Times New Roman"/>
          <w:sz w:val="26"/>
          <w:szCs w:val="26"/>
        </w:rPr>
        <w:t xml:space="preserve">В свою очередь рынки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1253">
        <w:rPr>
          <w:rFonts w:ascii="Times New Roman" w:hAnsi="Times New Roman" w:cs="Times New Roman"/>
          <w:sz w:val="26"/>
          <w:szCs w:val="26"/>
        </w:rPr>
        <w:t xml:space="preserve">электрической энергии (мощности) Амурской области и теплоснабжения на территории г. Благовещенска Амурской области показали устойчивую картину сохранения высокого уровня концентрации с неразвитой конкуренцией. </w:t>
      </w:r>
    </w:p>
    <w:p w:rsidR="005F7F60" w:rsidRDefault="005F7F60" w:rsidP="005F7F60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 xml:space="preserve">Следует отметить, что в </w:t>
      </w:r>
      <w:r w:rsidRPr="005F7F60">
        <w:rPr>
          <w:rFonts w:ascii="Times New Roman" w:hAnsi="Times New Roman" w:cs="Times New Roman"/>
          <w:sz w:val="26"/>
          <w:szCs w:val="26"/>
          <w:lang w:bidi="ru-RU"/>
        </w:rPr>
        <w:t>рамках рассмотрения дел о нарушении антимонопольного законодательства</w:t>
      </w:r>
      <w:r w:rsidR="00A17641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5F7F6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17641">
        <w:rPr>
          <w:rFonts w:ascii="Times New Roman" w:hAnsi="Times New Roman" w:cs="Times New Roman"/>
          <w:sz w:val="26"/>
          <w:szCs w:val="26"/>
          <w:lang w:bidi="ru-RU"/>
        </w:rPr>
        <w:t>Амурским УФАС России, н</w:t>
      </w:r>
      <w:r w:rsidR="00A17641" w:rsidRPr="005F7F60">
        <w:rPr>
          <w:rFonts w:ascii="Times New Roman" w:hAnsi="Times New Roman" w:cs="Times New Roman"/>
          <w:sz w:val="26"/>
          <w:szCs w:val="26"/>
          <w:lang w:bidi="ru-RU"/>
        </w:rPr>
        <w:t xml:space="preserve">а товарных рынках в сфере жилищно-коммунального хозяйства </w:t>
      </w:r>
      <w:r w:rsidRPr="005F7F60">
        <w:rPr>
          <w:rFonts w:ascii="Times New Roman" w:hAnsi="Times New Roman" w:cs="Times New Roman"/>
          <w:sz w:val="26"/>
          <w:szCs w:val="26"/>
          <w:lang w:bidi="ru-RU"/>
        </w:rPr>
        <w:t>выявляются характерные факторы, ограничивающие конкуренци</w:t>
      </w:r>
      <w:r w:rsidR="00A17641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F7F60">
        <w:rPr>
          <w:rFonts w:ascii="Times New Roman" w:hAnsi="Times New Roman" w:cs="Times New Roman"/>
          <w:sz w:val="26"/>
          <w:szCs w:val="26"/>
          <w:lang w:bidi="ru-RU"/>
        </w:rPr>
        <w:t>: нарушение органами местного самоуправления порядка передачи прав на муниципальное имущество жилищно-коммунальной инфраструктуры (стремление избежать процедуры торгов, заключения концессионных соглашений, предусматривающих инвестиции в развитие объектов жилищно-коммунальной инфраструктуры), бездействие органов местного самоуправления по отбору управляющих организаций</w:t>
      </w:r>
      <w:proofErr w:type="gramEnd"/>
      <w:r w:rsidRPr="005F7F60">
        <w:rPr>
          <w:rFonts w:ascii="Times New Roman" w:hAnsi="Times New Roman" w:cs="Times New Roman"/>
          <w:sz w:val="26"/>
          <w:szCs w:val="26"/>
          <w:lang w:bidi="ru-RU"/>
        </w:rPr>
        <w:t xml:space="preserve"> в случаях, установленных жилищным законодательством либо заключение договоров с управляющими (обслуживающими) организациями без проведения процедуры торгов, недобросовестная конкуренция между управляющими организациями, необоснованные отказы </w:t>
      </w:r>
      <w:proofErr w:type="spellStart"/>
      <w:r w:rsidRPr="005F7F60">
        <w:rPr>
          <w:rFonts w:ascii="Times New Roman" w:hAnsi="Times New Roman" w:cs="Times New Roman"/>
          <w:sz w:val="26"/>
          <w:szCs w:val="26"/>
          <w:lang w:bidi="ru-RU"/>
        </w:rPr>
        <w:t>ресурсоснабжающих</w:t>
      </w:r>
      <w:proofErr w:type="spellEnd"/>
      <w:r w:rsidRPr="005F7F60">
        <w:rPr>
          <w:rFonts w:ascii="Times New Roman" w:hAnsi="Times New Roman" w:cs="Times New Roman"/>
          <w:sz w:val="26"/>
          <w:szCs w:val="26"/>
          <w:lang w:bidi="ru-RU"/>
        </w:rPr>
        <w:t xml:space="preserve"> организаций от заключения договоров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F7F60">
        <w:rPr>
          <w:rFonts w:ascii="Times New Roman" w:hAnsi="Times New Roman" w:cs="Times New Roman"/>
          <w:sz w:val="26"/>
          <w:szCs w:val="26"/>
          <w:lang w:bidi="ru-RU"/>
        </w:rPr>
        <w:t>на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по</w:t>
      </w:r>
      <w:r w:rsidRPr="005F7F60">
        <w:rPr>
          <w:rFonts w:ascii="Times New Roman" w:hAnsi="Times New Roman" w:cs="Times New Roman"/>
          <w:sz w:val="26"/>
          <w:szCs w:val="26"/>
          <w:lang w:bidi="ru-RU"/>
        </w:rPr>
        <w:t>ставку коммунальных ресурсов с управляющими организациями.</w:t>
      </w:r>
    </w:p>
    <w:p w:rsidR="007E5E67" w:rsidRDefault="00771460" w:rsidP="006E4C16">
      <w:pPr>
        <w:pStyle w:val="ConsPlusNormal"/>
        <w:tabs>
          <w:tab w:val="left" w:pos="48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социальную значимость товарн</w:t>
      </w:r>
      <w:r w:rsidR="004616F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рынк</w:t>
      </w:r>
      <w:r w:rsidR="004616F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E90500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461253">
        <w:rPr>
          <w:rFonts w:ascii="Times New Roman" w:hAnsi="Times New Roman" w:cs="Times New Roman"/>
          <w:sz w:val="26"/>
          <w:szCs w:val="26"/>
        </w:rPr>
        <w:t xml:space="preserve"> как по</w:t>
      </w:r>
      <w:r w:rsidR="00E90500">
        <w:rPr>
          <w:rFonts w:ascii="Times New Roman" w:hAnsi="Times New Roman" w:cs="Times New Roman"/>
          <w:sz w:val="26"/>
          <w:szCs w:val="26"/>
        </w:rPr>
        <w:t xml:space="preserve"> г</w:t>
      </w:r>
      <w:r w:rsidR="00461253">
        <w:rPr>
          <w:rFonts w:ascii="Times New Roman" w:hAnsi="Times New Roman" w:cs="Times New Roman"/>
          <w:sz w:val="26"/>
          <w:szCs w:val="26"/>
        </w:rPr>
        <w:t xml:space="preserve">. Благовещенску, так и в целом по </w:t>
      </w:r>
      <w:r w:rsidR="00110DA6">
        <w:rPr>
          <w:rFonts w:ascii="Times New Roman" w:hAnsi="Times New Roman" w:cs="Times New Roman"/>
          <w:sz w:val="26"/>
          <w:szCs w:val="26"/>
        </w:rPr>
        <w:t xml:space="preserve">Амурской </w:t>
      </w:r>
      <w:r w:rsidR="00461253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, развитие конкуренции </w:t>
      </w:r>
      <w:r w:rsidR="00E90500">
        <w:rPr>
          <w:rFonts w:ascii="Times New Roman" w:hAnsi="Times New Roman" w:cs="Times New Roman"/>
          <w:sz w:val="26"/>
          <w:szCs w:val="26"/>
        </w:rPr>
        <w:t>на данн</w:t>
      </w:r>
      <w:r w:rsidR="004616F3">
        <w:rPr>
          <w:rFonts w:ascii="Times New Roman" w:hAnsi="Times New Roman" w:cs="Times New Roman"/>
          <w:sz w:val="26"/>
          <w:szCs w:val="26"/>
        </w:rPr>
        <w:t>ых</w:t>
      </w:r>
      <w:r w:rsidR="00E90500">
        <w:rPr>
          <w:rFonts w:ascii="Times New Roman" w:hAnsi="Times New Roman" w:cs="Times New Roman"/>
          <w:sz w:val="26"/>
          <w:szCs w:val="26"/>
        </w:rPr>
        <w:t xml:space="preserve"> рынк</w:t>
      </w:r>
      <w:r w:rsidR="004616F3">
        <w:rPr>
          <w:rFonts w:ascii="Times New Roman" w:hAnsi="Times New Roman" w:cs="Times New Roman"/>
          <w:sz w:val="26"/>
          <w:szCs w:val="26"/>
        </w:rPr>
        <w:t>ах</w:t>
      </w:r>
      <w:r w:rsidR="00E905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E90500">
        <w:rPr>
          <w:rFonts w:ascii="Times New Roman" w:hAnsi="Times New Roman" w:cs="Times New Roman"/>
          <w:sz w:val="26"/>
          <w:szCs w:val="26"/>
        </w:rPr>
        <w:t xml:space="preserve"> одной из</w:t>
      </w:r>
      <w:r>
        <w:rPr>
          <w:rFonts w:ascii="Times New Roman" w:hAnsi="Times New Roman" w:cs="Times New Roman"/>
          <w:sz w:val="26"/>
          <w:szCs w:val="26"/>
        </w:rPr>
        <w:t xml:space="preserve"> приоритетн</w:t>
      </w:r>
      <w:r w:rsidR="00E90500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задач</w:t>
      </w:r>
      <w:r w:rsidR="00110DA6">
        <w:rPr>
          <w:rFonts w:ascii="Times New Roman" w:hAnsi="Times New Roman" w:cs="Times New Roman"/>
          <w:sz w:val="26"/>
          <w:szCs w:val="26"/>
        </w:rPr>
        <w:t>,</w:t>
      </w:r>
      <w:r w:rsidR="004616F3">
        <w:rPr>
          <w:rFonts w:ascii="Times New Roman" w:hAnsi="Times New Roman" w:cs="Times New Roman"/>
          <w:sz w:val="26"/>
          <w:szCs w:val="26"/>
        </w:rPr>
        <w:t xml:space="preserve"> как </w:t>
      </w:r>
      <w:r w:rsidR="00E90500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="004616F3">
        <w:rPr>
          <w:rFonts w:ascii="Times New Roman" w:hAnsi="Times New Roman" w:cs="Times New Roman"/>
          <w:sz w:val="26"/>
          <w:szCs w:val="26"/>
        </w:rPr>
        <w:t xml:space="preserve"> года, так и будущих</w:t>
      </w:r>
      <w:r w:rsidR="00E90500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4616F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F60" w:rsidRDefault="005F7F60" w:rsidP="006E4C16">
      <w:pPr>
        <w:pStyle w:val="ConsPlusNormal"/>
        <w:tabs>
          <w:tab w:val="left" w:pos="486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6A5A" w:rsidRDefault="00486A5A" w:rsidP="006E4C16">
      <w:pPr>
        <w:pStyle w:val="ConsPlusNormal"/>
        <w:tabs>
          <w:tab w:val="left" w:pos="486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349E" w:rsidRDefault="00FF349E" w:rsidP="00FF349E">
      <w:pPr>
        <w:pStyle w:val="ConsPlusNormal"/>
        <w:tabs>
          <w:tab w:val="left" w:pos="486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6"/>
        <w:gridCol w:w="2935"/>
      </w:tblGrid>
      <w:tr w:rsidR="00FF349E" w:rsidRPr="00A8699B" w:rsidTr="00FF349E">
        <w:tc>
          <w:tcPr>
            <w:tcW w:w="2802" w:type="dxa"/>
            <w:shd w:val="clear" w:color="auto" w:fill="auto"/>
          </w:tcPr>
          <w:p w:rsidR="00FF349E" w:rsidRPr="00A8699B" w:rsidRDefault="00FF349E" w:rsidP="00FF349E">
            <w:pPr>
              <w:pStyle w:val="ConsPlusNormal"/>
              <w:tabs>
                <w:tab w:val="left" w:pos="48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99B">
              <w:rPr>
                <w:rFonts w:ascii="Times New Roman" w:hAnsi="Times New Roman" w:cs="Times New Roman"/>
                <w:sz w:val="26"/>
                <w:szCs w:val="26"/>
              </w:rPr>
              <w:t>Дата события:</w:t>
            </w:r>
          </w:p>
        </w:tc>
        <w:tc>
          <w:tcPr>
            <w:tcW w:w="4116" w:type="dxa"/>
            <w:shd w:val="clear" w:color="auto" w:fill="auto"/>
          </w:tcPr>
          <w:p w:rsidR="00FF349E" w:rsidRPr="00A8699B" w:rsidRDefault="00FF349E" w:rsidP="00FF349E">
            <w:pPr>
              <w:pStyle w:val="ConsPlusNormal"/>
              <w:tabs>
                <w:tab w:val="left" w:pos="48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99B">
              <w:rPr>
                <w:rFonts w:ascii="Times New Roman" w:hAnsi="Times New Roman" w:cs="Times New Roman"/>
                <w:sz w:val="26"/>
                <w:szCs w:val="26"/>
              </w:rPr>
              <w:t>Дата сдачи пресс-секретарю:</w:t>
            </w:r>
          </w:p>
        </w:tc>
        <w:tc>
          <w:tcPr>
            <w:tcW w:w="2935" w:type="dxa"/>
            <w:shd w:val="clear" w:color="auto" w:fill="auto"/>
          </w:tcPr>
          <w:p w:rsidR="00FF349E" w:rsidRPr="00A8699B" w:rsidRDefault="00FF349E" w:rsidP="00FF349E">
            <w:pPr>
              <w:pStyle w:val="ConsPlusNormal"/>
              <w:tabs>
                <w:tab w:val="left" w:pos="48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99B">
              <w:rPr>
                <w:rFonts w:ascii="Times New Roman" w:hAnsi="Times New Roman" w:cs="Times New Roman"/>
                <w:sz w:val="26"/>
                <w:szCs w:val="26"/>
              </w:rPr>
              <w:t>Дата размещения:</w:t>
            </w:r>
          </w:p>
        </w:tc>
      </w:tr>
      <w:tr w:rsidR="00FF349E" w:rsidRPr="00A8699B" w:rsidTr="00FF349E">
        <w:tc>
          <w:tcPr>
            <w:tcW w:w="2802" w:type="dxa"/>
            <w:shd w:val="clear" w:color="auto" w:fill="auto"/>
          </w:tcPr>
          <w:p w:rsidR="00FF349E" w:rsidRPr="00A8699B" w:rsidRDefault="00FF349E" w:rsidP="00FF349E">
            <w:pPr>
              <w:pStyle w:val="ConsPlusNormal"/>
              <w:tabs>
                <w:tab w:val="left" w:pos="48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26.02.2016</w:t>
            </w:r>
          </w:p>
        </w:tc>
        <w:tc>
          <w:tcPr>
            <w:tcW w:w="4116" w:type="dxa"/>
            <w:shd w:val="clear" w:color="auto" w:fill="auto"/>
          </w:tcPr>
          <w:p w:rsidR="00FF349E" w:rsidRPr="00A8699B" w:rsidRDefault="00FF349E" w:rsidP="00FF349E">
            <w:pPr>
              <w:pStyle w:val="ConsPlusNormal"/>
              <w:tabs>
                <w:tab w:val="left" w:pos="48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26.02.2016</w:t>
            </w:r>
          </w:p>
        </w:tc>
        <w:tc>
          <w:tcPr>
            <w:tcW w:w="2935" w:type="dxa"/>
            <w:shd w:val="clear" w:color="auto" w:fill="auto"/>
          </w:tcPr>
          <w:p w:rsidR="00FF349E" w:rsidRPr="00A8699B" w:rsidRDefault="00FF349E" w:rsidP="00FF349E">
            <w:pPr>
              <w:pStyle w:val="ConsPlusNormal"/>
              <w:tabs>
                <w:tab w:val="left" w:pos="486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49E" w:rsidRPr="00A8699B" w:rsidRDefault="00FF349E" w:rsidP="00FF349E">
      <w:pPr>
        <w:pStyle w:val="ConsPlusNormal"/>
        <w:tabs>
          <w:tab w:val="left" w:pos="486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FF349E" w:rsidRPr="00A8699B" w:rsidRDefault="00FF349E" w:rsidP="00FF349E">
      <w:pPr>
        <w:pStyle w:val="ConsPlusNormal"/>
        <w:tabs>
          <w:tab w:val="left" w:pos="486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8699B">
        <w:rPr>
          <w:rFonts w:ascii="Times New Roman" w:hAnsi="Times New Roman" w:cs="Times New Roman"/>
          <w:sz w:val="26"/>
          <w:szCs w:val="26"/>
        </w:rPr>
        <w:t>Исполнитель:                                                           ____________             Е.А. Сухарева</w:t>
      </w:r>
    </w:p>
    <w:p w:rsidR="00FF349E" w:rsidRPr="00A8699B" w:rsidRDefault="00FF349E" w:rsidP="00FF349E">
      <w:pPr>
        <w:pStyle w:val="ConsPlusNormal"/>
        <w:tabs>
          <w:tab w:val="left" w:pos="486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F349E" w:rsidRPr="00A8699B" w:rsidRDefault="00FF349E" w:rsidP="00FF349E">
      <w:pPr>
        <w:pStyle w:val="ConsPlusNormal"/>
        <w:tabs>
          <w:tab w:val="left" w:pos="486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F349E" w:rsidRPr="00A8699B" w:rsidRDefault="00FF349E" w:rsidP="00FF349E">
      <w:pPr>
        <w:pStyle w:val="ConsPlusNormal"/>
        <w:tabs>
          <w:tab w:val="left" w:pos="486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8699B">
        <w:rPr>
          <w:rFonts w:ascii="Times New Roman" w:hAnsi="Times New Roman" w:cs="Times New Roman"/>
          <w:sz w:val="26"/>
          <w:szCs w:val="26"/>
        </w:rPr>
        <w:t xml:space="preserve">Заместитель руководителя управления – </w:t>
      </w:r>
    </w:p>
    <w:p w:rsidR="00FF349E" w:rsidRPr="00A8699B" w:rsidRDefault="00FF349E" w:rsidP="00FF349E">
      <w:pPr>
        <w:pStyle w:val="ConsPlusNormal"/>
        <w:tabs>
          <w:tab w:val="left" w:pos="486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8699B"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____________             И.П. </w:t>
      </w:r>
      <w:proofErr w:type="spellStart"/>
      <w:r w:rsidRPr="00A8699B">
        <w:rPr>
          <w:rFonts w:ascii="Times New Roman" w:hAnsi="Times New Roman" w:cs="Times New Roman"/>
          <w:sz w:val="26"/>
          <w:szCs w:val="26"/>
        </w:rPr>
        <w:t>Крайнова</w:t>
      </w:r>
      <w:proofErr w:type="spellEnd"/>
    </w:p>
    <w:p w:rsidR="00FF349E" w:rsidRPr="00A8699B" w:rsidRDefault="00FF349E" w:rsidP="00FF349E">
      <w:pPr>
        <w:pStyle w:val="ConsPlusNormal"/>
        <w:tabs>
          <w:tab w:val="left" w:pos="4860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F349E" w:rsidRPr="00A8699B" w:rsidRDefault="00FF349E" w:rsidP="00FF349E">
      <w:pPr>
        <w:pStyle w:val="ConsPlusNormal"/>
        <w:tabs>
          <w:tab w:val="left" w:pos="486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8699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F349E" w:rsidRPr="00A8699B" w:rsidRDefault="00FF349E" w:rsidP="00FF349E">
      <w:pPr>
        <w:pStyle w:val="ConsPlusNormal"/>
        <w:tabs>
          <w:tab w:val="left" w:pos="486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8699B">
        <w:rPr>
          <w:rFonts w:ascii="Times New Roman" w:hAnsi="Times New Roman" w:cs="Times New Roman"/>
          <w:sz w:val="26"/>
          <w:szCs w:val="26"/>
        </w:rPr>
        <w:t xml:space="preserve">Пресс-секретарь:                                                     ____________             В.Г. Устинова </w:t>
      </w:r>
    </w:p>
    <w:p w:rsidR="00FF349E" w:rsidRPr="007E5E67" w:rsidRDefault="00FF349E" w:rsidP="00FF349E">
      <w:pPr>
        <w:pStyle w:val="ConsPlusNormal"/>
        <w:tabs>
          <w:tab w:val="left" w:pos="4860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:rsidR="006E4C16" w:rsidRPr="006E4C16" w:rsidRDefault="006E4C16" w:rsidP="00FF349E">
      <w:pPr>
        <w:pStyle w:val="ConsPlusNormal"/>
        <w:tabs>
          <w:tab w:val="left" w:pos="4860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E4C16" w:rsidRPr="006E4C16" w:rsidSect="00076731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9E" w:rsidRDefault="00FF349E" w:rsidP="00445DC2">
      <w:pPr>
        <w:spacing w:after="0" w:line="240" w:lineRule="auto"/>
      </w:pPr>
      <w:r>
        <w:separator/>
      </w:r>
    </w:p>
  </w:endnote>
  <w:endnote w:type="continuationSeparator" w:id="0">
    <w:p w:rsidR="00FF349E" w:rsidRDefault="00FF349E" w:rsidP="004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9E" w:rsidRDefault="00FF349E" w:rsidP="00445DC2">
      <w:pPr>
        <w:spacing w:after="0" w:line="240" w:lineRule="auto"/>
      </w:pPr>
      <w:r>
        <w:separator/>
      </w:r>
    </w:p>
  </w:footnote>
  <w:footnote w:type="continuationSeparator" w:id="0">
    <w:p w:rsidR="00FF349E" w:rsidRDefault="00FF349E" w:rsidP="0044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1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349E" w:rsidRPr="00B064CF" w:rsidRDefault="00FF349E">
        <w:pPr>
          <w:pStyle w:val="ab"/>
          <w:jc w:val="center"/>
          <w:rPr>
            <w:rFonts w:ascii="Times New Roman" w:hAnsi="Times New Roman" w:cs="Times New Roman"/>
          </w:rPr>
        </w:pPr>
        <w:r w:rsidRPr="00B064CF">
          <w:rPr>
            <w:rFonts w:ascii="Times New Roman" w:hAnsi="Times New Roman" w:cs="Times New Roman"/>
          </w:rPr>
          <w:fldChar w:fldCharType="begin"/>
        </w:r>
        <w:r w:rsidRPr="00B064CF">
          <w:rPr>
            <w:rFonts w:ascii="Times New Roman" w:hAnsi="Times New Roman" w:cs="Times New Roman"/>
          </w:rPr>
          <w:instrText>PAGE   \* MERGEFORMAT</w:instrText>
        </w:r>
        <w:r w:rsidRPr="00B064CF">
          <w:rPr>
            <w:rFonts w:ascii="Times New Roman" w:hAnsi="Times New Roman" w:cs="Times New Roman"/>
          </w:rPr>
          <w:fldChar w:fldCharType="separate"/>
        </w:r>
        <w:r w:rsidR="00271C7F">
          <w:rPr>
            <w:rFonts w:ascii="Times New Roman" w:hAnsi="Times New Roman" w:cs="Times New Roman"/>
            <w:noProof/>
          </w:rPr>
          <w:t>2</w:t>
        </w:r>
        <w:r w:rsidRPr="00B064CF">
          <w:rPr>
            <w:rFonts w:ascii="Times New Roman" w:hAnsi="Times New Roman" w:cs="Times New Roman"/>
          </w:rPr>
          <w:fldChar w:fldCharType="end"/>
        </w:r>
      </w:p>
    </w:sdtContent>
  </w:sdt>
  <w:p w:rsidR="00FF349E" w:rsidRDefault="00FF34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D1"/>
    <w:multiLevelType w:val="multilevel"/>
    <w:tmpl w:val="857C6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FB057B8"/>
    <w:multiLevelType w:val="hybridMultilevel"/>
    <w:tmpl w:val="663A1E62"/>
    <w:lvl w:ilvl="0" w:tplc="25F0E1A0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1ED4"/>
    <w:multiLevelType w:val="hybridMultilevel"/>
    <w:tmpl w:val="518CBFF8"/>
    <w:lvl w:ilvl="0" w:tplc="905CA2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0075D"/>
    <w:multiLevelType w:val="hybridMultilevel"/>
    <w:tmpl w:val="F02A374A"/>
    <w:lvl w:ilvl="0" w:tplc="47D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17D3E"/>
    <w:multiLevelType w:val="hybridMultilevel"/>
    <w:tmpl w:val="5FFC9F4C"/>
    <w:lvl w:ilvl="0" w:tplc="E8FC9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D7E6B"/>
    <w:multiLevelType w:val="multilevel"/>
    <w:tmpl w:val="2F1801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6">
    <w:nsid w:val="60057A30"/>
    <w:multiLevelType w:val="multilevel"/>
    <w:tmpl w:val="CA6C3E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141344F"/>
    <w:multiLevelType w:val="hybridMultilevel"/>
    <w:tmpl w:val="D3F63E30"/>
    <w:lvl w:ilvl="0" w:tplc="04190001">
      <w:start w:val="17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C6D0C"/>
    <w:multiLevelType w:val="multilevel"/>
    <w:tmpl w:val="5464F4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A80CA3"/>
    <w:multiLevelType w:val="hybridMultilevel"/>
    <w:tmpl w:val="531CD0F2"/>
    <w:lvl w:ilvl="0" w:tplc="B2D63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A"/>
    <w:rsid w:val="000006AA"/>
    <w:rsid w:val="000668B8"/>
    <w:rsid w:val="00076731"/>
    <w:rsid w:val="00091E5F"/>
    <w:rsid w:val="0010602A"/>
    <w:rsid w:val="00110DA6"/>
    <w:rsid w:val="0012502D"/>
    <w:rsid w:val="001843BF"/>
    <w:rsid w:val="001A3F44"/>
    <w:rsid w:val="001B2845"/>
    <w:rsid w:val="001B4E61"/>
    <w:rsid w:val="001D69A1"/>
    <w:rsid w:val="001E310A"/>
    <w:rsid w:val="001E776B"/>
    <w:rsid w:val="002000A8"/>
    <w:rsid w:val="00201B3D"/>
    <w:rsid w:val="002350EC"/>
    <w:rsid w:val="00271C7F"/>
    <w:rsid w:val="00281965"/>
    <w:rsid w:val="00297093"/>
    <w:rsid w:val="002A489D"/>
    <w:rsid w:val="002C1655"/>
    <w:rsid w:val="002C3FEF"/>
    <w:rsid w:val="002D523C"/>
    <w:rsid w:val="002E5853"/>
    <w:rsid w:val="002E760F"/>
    <w:rsid w:val="002F66F6"/>
    <w:rsid w:val="00311604"/>
    <w:rsid w:val="00334C7E"/>
    <w:rsid w:val="00337DFC"/>
    <w:rsid w:val="003419E6"/>
    <w:rsid w:val="003436C5"/>
    <w:rsid w:val="0034721A"/>
    <w:rsid w:val="00372616"/>
    <w:rsid w:val="00385E9A"/>
    <w:rsid w:val="003B5451"/>
    <w:rsid w:val="003D258C"/>
    <w:rsid w:val="003E5F98"/>
    <w:rsid w:val="004022D8"/>
    <w:rsid w:val="00405A21"/>
    <w:rsid w:val="004123AF"/>
    <w:rsid w:val="00432E5C"/>
    <w:rsid w:val="0043730F"/>
    <w:rsid w:val="00445DC2"/>
    <w:rsid w:val="0044624E"/>
    <w:rsid w:val="00461253"/>
    <w:rsid w:val="004616F3"/>
    <w:rsid w:val="0046792B"/>
    <w:rsid w:val="004708E5"/>
    <w:rsid w:val="0047735A"/>
    <w:rsid w:val="00486A5A"/>
    <w:rsid w:val="004A7287"/>
    <w:rsid w:val="004B202C"/>
    <w:rsid w:val="004B7B40"/>
    <w:rsid w:val="004C27CD"/>
    <w:rsid w:val="004C6053"/>
    <w:rsid w:val="004F2312"/>
    <w:rsid w:val="004F2E66"/>
    <w:rsid w:val="0050731C"/>
    <w:rsid w:val="00516981"/>
    <w:rsid w:val="00557AF8"/>
    <w:rsid w:val="0059790A"/>
    <w:rsid w:val="005C3F01"/>
    <w:rsid w:val="005C58D2"/>
    <w:rsid w:val="005E15D9"/>
    <w:rsid w:val="005E4AF0"/>
    <w:rsid w:val="005F54F6"/>
    <w:rsid w:val="005F6A9C"/>
    <w:rsid w:val="005F7F60"/>
    <w:rsid w:val="00652C44"/>
    <w:rsid w:val="00655F50"/>
    <w:rsid w:val="0069583B"/>
    <w:rsid w:val="006B637B"/>
    <w:rsid w:val="006E3291"/>
    <w:rsid w:val="006E452A"/>
    <w:rsid w:val="006E4C16"/>
    <w:rsid w:val="006F486B"/>
    <w:rsid w:val="00704167"/>
    <w:rsid w:val="00705C1E"/>
    <w:rsid w:val="00715A39"/>
    <w:rsid w:val="00731373"/>
    <w:rsid w:val="007550A6"/>
    <w:rsid w:val="00757376"/>
    <w:rsid w:val="00763358"/>
    <w:rsid w:val="00771460"/>
    <w:rsid w:val="00783D41"/>
    <w:rsid w:val="007B44E3"/>
    <w:rsid w:val="007B4C7D"/>
    <w:rsid w:val="007D7E0D"/>
    <w:rsid w:val="007E5E67"/>
    <w:rsid w:val="007E6211"/>
    <w:rsid w:val="007E711E"/>
    <w:rsid w:val="00830987"/>
    <w:rsid w:val="00851385"/>
    <w:rsid w:val="00870283"/>
    <w:rsid w:val="00881A81"/>
    <w:rsid w:val="0088344F"/>
    <w:rsid w:val="0088633B"/>
    <w:rsid w:val="008A51CD"/>
    <w:rsid w:val="008A6726"/>
    <w:rsid w:val="008B2652"/>
    <w:rsid w:val="008C1BD1"/>
    <w:rsid w:val="008F550D"/>
    <w:rsid w:val="009019DB"/>
    <w:rsid w:val="00904603"/>
    <w:rsid w:val="00907E12"/>
    <w:rsid w:val="00910B83"/>
    <w:rsid w:val="00931655"/>
    <w:rsid w:val="0094023C"/>
    <w:rsid w:val="00944787"/>
    <w:rsid w:val="00955815"/>
    <w:rsid w:val="00956658"/>
    <w:rsid w:val="00956E8A"/>
    <w:rsid w:val="0096610E"/>
    <w:rsid w:val="00971733"/>
    <w:rsid w:val="00976073"/>
    <w:rsid w:val="00982E7F"/>
    <w:rsid w:val="00994A5C"/>
    <w:rsid w:val="009B0DDF"/>
    <w:rsid w:val="009E0968"/>
    <w:rsid w:val="009E1AE6"/>
    <w:rsid w:val="009E60FB"/>
    <w:rsid w:val="009F1E9F"/>
    <w:rsid w:val="009F4676"/>
    <w:rsid w:val="00A025F3"/>
    <w:rsid w:val="00A17641"/>
    <w:rsid w:val="00A2039A"/>
    <w:rsid w:val="00A73D87"/>
    <w:rsid w:val="00A91935"/>
    <w:rsid w:val="00A96FB4"/>
    <w:rsid w:val="00AA3F01"/>
    <w:rsid w:val="00AD71E4"/>
    <w:rsid w:val="00AF5267"/>
    <w:rsid w:val="00B03143"/>
    <w:rsid w:val="00B064CF"/>
    <w:rsid w:val="00B6030B"/>
    <w:rsid w:val="00B615C2"/>
    <w:rsid w:val="00BA053F"/>
    <w:rsid w:val="00BB1D42"/>
    <w:rsid w:val="00BC4C07"/>
    <w:rsid w:val="00BD51EA"/>
    <w:rsid w:val="00C10887"/>
    <w:rsid w:val="00C128AE"/>
    <w:rsid w:val="00C47315"/>
    <w:rsid w:val="00C47729"/>
    <w:rsid w:val="00C502F6"/>
    <w:rsid w:val="00C8132F"/>
    <w:rsid w:val="00C95194"/>
    <w:rsid w:val="00C96E9B"/>
    <w:rsid w:val="00C97F40"/>
    <w:rsid w:val="00CA3A19"/>
    <w:rsid w:val="00CB0560"/>
    <w:rsid w:val="00D008F3"/>
    <w:rsid w:val="00D04FB2"/>
    <w:rsid w:val="00D11CC6"/>
    <w:rsid w:val="00D1616F"/>
    <w:rsid w:val="00D26525"/>
    <w:rsid w:val="00D32DE8"/>
    <w:rsid w:val="00D4134E"/>
    <w:rsid w:val="00D5609E"/>
    <w:rsid w:val="00D65113"/>
    <w:rsid w:val="00D702FC"/>
    <w:rsid w:val="00DB45F6"/>
    <w:rsid w:val="00DC54BD"/>
    <w:rsid w:val="00DE3892"/>
    <w:rsid w:val="00E11C1E"/>
    <w:rsid w:val="00E25678"/>
    <w:rsid w:val="00E27B8E"/>
    <w:rsid w:val="00E31E17"/>
    <w:rsid w:val="00E346F9"/>
    <w:rsid w:val="00E72EFF"/>
    <w:rsid w:val="00E7369A"/>
    <w:rsid w:val="00E90500"/>
    <w:rsid w:val="00EB4871"/>
    <w:rsid w:val="00ED1932"/>
    <w:rsid w:val="00ED241C"/>
    <w:rsid w:val="00ED42E3"/>
    <w:rsid w:val="00ED78AC"/>
    <w:rsid w:val="00EF386E"/>
    <w:rsid w:val="00F02B33"/>
    <w:rsid w:val="00F03DDC"/>
    <w:rsid w:val="00F31040"/>
    <w:rsid w:val="00F36A48"/>
    <w:rsid w:val="00F46A42"/>
    <w:rsid w:val="00F51EE6"/>
    <w:rsid w:val="00F82B74"/>
    <w:rsid w:val="00F84107"/>
    <w:rsid w:val="00F84133"/>
    <w:rsid w:val="00F95E9B"/>
    <w:rsid w:val="00FB15E7"/>
    <w:rsid w:val="00FD6634"/>
    <w:rsid w:val="00FF15E0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48"/>
    <w:pPr>
      <w:ind w:left="720"/>
      <w:contextualSpacing/>
    </w:pPr>
  </w:style>
  <w:style w:type="paragraph" w:customStyle="1" w:styleId="ConsPlusNormal">
    <w:name w:val="ConsPlusNormal"/>
    <w:rsid w:val="00FB1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03D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D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D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D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D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5DC2"/>
  </w:style>
  <w:style w:type="paragraph" w:styleId="ad">
    <w:name w:val="footer"/>
    <w:basedOn w:val="a"/>
    <w:link w:val="ae"/>
    <w:uiPriority w:val="99"/>
    <w:unhideWhenUsed/>
    <w:rsid w:val="0044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5DC2"/>
  </w:style>
  <w:style w:type="table" w:styleId="af">
    <w:name w:val="Table Grid"/>
    <w:basedOn w:val="a1"/>
    <w:uiPriority w:val="59"/>
    <w:rsid w:val="0065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31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48"/>
    <w:pPr>
      <w:ind w:left="720"/>
      <w:contextualSpacing/>
    </w:pPr>
  </w:style>
  <w:style w:type="paragraph" w:customStyle="1" w:styleId="ConsPlusNormal">
    <w:name w:val="ConsPlusNormal"/>
    <w:rsid w:val="00FB1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03D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D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D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D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D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5DC2"/>
  </w:style>
  <w:style w:type="paragraph" w:styleId="ad">
    <w:name w:val="footer"/>
    <w:basedOn w:val="a"/>
    <w:link w:val="ae"/>
    <w:uiPriority w:val="99"/>
    <w:unhideWhenUsed/>
    <w:rsid w:val="0044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5DC2"/>
  </w:style>
  <w:style w:type="table" w:styleId="af">
    <w:name w:val="Table Grid"/>
    <w:basedOn w:val="a1"/>
    <w:uiPriority w:val="59"/>
    <w:rsid w:val="0065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3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m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4EA5-08DF-4F24-9615-B7FADAD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Елена Алексеевна</dc:creator>
  <cp:lastModifiedBy>Сухарева Елена Алексеевна</cp:lastModifiedBy>
  <cp:revision>2</cp:revision>
  <cp:lastPrinted>2016-02-26T02:36:00Z</cp:lastPrinted>
  <dcterms:created xsi:type="dcterms:W3CDTF">2016-02-26T04:45:00Z</dcterms:created>
  <dcterms:modified xsi:type="dcterms:W3CDTF">2016-02-26T04:45:00Z</dcterms:modified>
</cp:coreProperties>
</file>